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9F" w:rsidRDefault="0002459F" w:rsidP="0002459F">
      <w:pPr>
        <w:ind w:left="0" w:firstLine="0"/>
        <w:rPr>
          <w:b/>
          <w:sz w:val="22"/>
          <w:u w:val="single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GB"/>
            </w:rPr>
            <w:t>ITALY</w:t>
          </w:r>
        </w:smartTag>
      </w:smartTag>
    </w:p>
    <w:p w:rsidR="0002459F" w:rsidRPr="002C75B8" w:rsidRDefault="0002459F" w:rsidP="0002459F">
      <w:pPr>
        <w:ind w:left="0" w:firstLine="0"/>
        <w:rPr>
          <w:b/>
          <w:sz w:val="22"/>
          <w:u w:val="single"/>
          <w:lang w:val="en-GB"/>
        </w:rPr>
      </w:pP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828925" cy="2000250"/>
            <wp:effectExtent l="19050" t="0" r="9525" b="0"/>
            <wp:docPr id="1" name="Imagen 15" descr="IT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IT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Total Population: </w:t>
      </w:r>
      <w:r>
        <w:rPr>
          <w:sz w:val="22"/>
          <w:lang w:val="en-US"/>
        </w:rPr>
        <w:t>60,483,521</w:t>
      </w:r>
      <w:r w:rsidRPr="002C75B8">
        <w:rPr>
          <w:sz w:val="22"/>
          <w:lang w:val="en-US"/>
        </w:rPr>
        <w:t xml:space="preserve"> 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0-14 years: 14</w:t>
      </w:r>
      <w:r>
        <w:rPr>
          <w:sz w:val="22"/>
          <w:lang w:val="en-US"/>
        </w:rPr>
        <w:t>%</w:t>
      </w:r>
      <w:r w:rsidRPr="002C75B8">
        <w:rPr>
          <w:sz w:val="22"/>
          <w:lang w:val="en-US"/>
        </w:rPr>
        <w:t xml:space="preserve"> 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Rural population: 32% 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no data 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the national poverty line: no data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High income </w:t>
      </w:r>
      <w:r>
        <w:rPr>
          <w:sz w:val="22"/>
          <w:lang w:val="en-US"/>
        </w:rPr>
        <w:t>economy: OECD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Ranking: Very high human development (ranking </w:t>
      </w:r>
      <w:r>
        <w:rPr>
          <w:sz w:val="22"/>
          <w:lang w:val="en-US"/>
        </w:rPr>
        <w:t>24</w:t>
      </w:r>
      <w:r w:rsidRPr="002C75B8">
        <w:rPr>
          <w:sz w:val="22"/>
          <w:lang w:val="en-US"/>
        </w:rPr>
        <w:t>)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3,328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Life expectancy at birth (years): 81 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73  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In Italy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zoonotic VL </w:t>
      </w:r>
      <w:r>
        <w:rPr>
          <w:sz w:val="22"/>
          <w:lang w:val="en-US"/>
        </w:rPr>
        <w:t xml:space="preserve">is endemic, </w:t>
      </w:r>
      <w:r w:rsidRPr="002C75B8">
        <w:rPr>
          <w:sz w:val="22"/>
          <w:lang w:val="en-US"/>
        </w:rPr>
        <w:t>and sporadic</w:t>
      </w:r>
      <w:r>
        <w:rPr>
          <w:sz w:val="22"/>
          <w:lang w:val="en-US"/>
        </w:rPr>
        <w:t>ally</w:t>
      </w:r>
      <w:r w:rsidRPr="002C75B8">
        <w:rPr>
          <w:sz w:val="22"/>
          <w:lang w:val="en-US"/>
        </w:rPr>
        <w:t xml:space="preserve"> zoonotic CL</w:t>
      </w:r>
      <w:r>
        <w:rPr>
          <w:sz w:val="22"/>
          <w:lang w:val="en-US"/>
        </w:rPr>
        <w:t xml:space="preserve"> occurs</w:t>
      </w:r>
      <w:r w:rsidRPr="002C75B8">
        <w:rPr>
          <w:sz w:val="22"/>
          <w:lang w:val="en-US"/>
        </w:rPr>
        <w:t xml:space="preserve">, both caused by </w:t>
      </w:r>
      <w:r w:rsidRPr="002C75B8">
        <w:rPr>
          <w:i/>
          <w:iCs/>
          <w:sz w:val="22"/>
          <w:lang w:val="en-US"/>
        </w:rPr>
        <w:t>L. infantum</w:t>
      </w:r>
      <w:r w:rsidRPr="002C75B8">
        <w:rPr>
          <w:sz w:val="22"/>
          <w:lang w:val="en-US"/>
        </w:rPr>
        <w:t xml:space="preserve">. The most important foci are in </w:t>
      </w:r>
      <w:smartTag w:uri="urn:schemas-microsoft-com:office:smarttags" w:element="State">
        <w:r w:rsidRPr="002C75B8">
          <w:rPr>
            <w:sz w:val="22"/>
            <w:lang w:val="en-US"/>
          </w:rPr>
          <w:t>Tuscany</w:t>
        </w:r>
      </w:smartTag>
      <w:r w:rsidRPr="002C75B8">
        <w:rPr>
          <w:sz w:val="22"/>
          <w:lang w:val="en-US"/>
        </w:rPr>
        <w:t xml:space="preserve">, </w:t>
      </w:r>
      <w:smartTag w:uri="urn:schemas-microsoft-com:office:smarttags" w:element="State">
        <w:r w:rsidRPr="002C75B8">
          <w:rPr>
            <w:sz w:val="22"/>
            <w:lang w:val="en-US"/>
          </w:rPr>
          <w:t>Sicily</w:t>
        </w:r>
      </w:smartTag>
      <w:r w:rsidRPr="002C75B8">
        <w:rPr>
          <w:sz w:val="22"/>
          <w:lang w:val="en-US"/>
        </w:rPr>
        <w:t xml:space="preserve">, </w:t>
      </w:r>
      <w:smartTag w:uri="urn:schemas-microsoft-com:office:smarttags" w:element="State">
        <w:r w:rsidRPr="002C75B8">
          <w:rPr>
            <w:sz w:val="22"/>
            <w:lang w:val="en-US"/>
          </w:rPr>
          <w:t>Campania</w:t>
        </w:r>
      </w:smartTag>
      <w:r w:rsidRPr="002C75B8">
        <w:rPr>
          <w:sz w:val="22"/>
          <w:lang w:val="en-US"/>
        </w:rPr>
        <w:t xml:space="preserve"> and Sardinia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with the </w:t>
      </w:r>
      <w:r w:rsidRPr="002C75B8">
        <w:rPr>
          <w:color w:val="000000"/>
          <w:sz w:val="22"/>
          <w:lang w:val="en-US"/>
        </w:rPr>
        <w:t xml:space="preserve">highest incidence in </w:t>
      </w:r>
      <w:smartTag w:uri="urn:schemas-microsoft-com:office:smarttags" w:element="State">
        <w:r w:rsidRPr="002C75B8">
          <w:rPr>
            <w:color w:val="000000"/>
            <w:sz w:val="22"/>
            <w:lang w:val="en-US"/>
          </w:rPr>
          <w:t>Sicily</w:t>
        </w:r>
      </w:smartTag>
      <w:r w:rsidRPr="002C75B8">
        <w:rPr>
          <w:color w:val="000000"/>
          <w:sz w:val="22"/>
          <w:lang w:val="en-US"/>
        </w:rPr>
        <w:t xml:space="preserve"> and the </w:t>
      </w:r>
      <w:smartTag w:uri="urn:schemas-microsoft-com:office:smarttags" w:element="City">
        <w:smartTag w:uri="urn:schemas-microsoft-com:office:smarttags" w:element="place">
          <w:r w:rsidRPr="002C75B8">
            <w:rPr>
              <w:color w:val="000000"/>
              <w:sz w:val="22"/>
              <w:lang w:val="en-US"/>
            </w:rPr>
            <w:t>Naples</w:t>
          </w:r>
        </w:smartTag>
      </w:smartTag>
      <w:r w:rsidRPr="002C75B8">
        <w:rPr>
          <w:color w:val="000000"/>
          <w:sz w:val="22"/>
          <w:lang w:val="en-US"/>
        </w:rPr>
        <w:t xml:space="preserve"> region</w:t>
      </w:r>
      <w:r>
        <w:rPr>
          <w:color w:val="000000"/>
          <w:sz w:val="22"/>
          <w:lang w:val="en-US"/>
        </w:rPr>
        <w:t xml:space="preserve"> [1]</w:t>
      </w:r>
      <w:r w:rsidRPr="002C75B8">
        <w:rPr>
          <w:color w:val="000000"/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In </w:t>
      </w:r>
      <w:proofErr w:type="spellStart"/>
      <w:r w:rsidRPr="002C75B8">
        <w:rPr>
          <w:sz w:val="22"/>
          <w:lang w:val="en-US"/>
        </w:rPr>
        <w:t>immuno</w:t>
      </w:r>
      <w:r>
        <w:rPr>
          <w:sz w:val="22"/>
          <w:lang w:val="en-US"/>
        </w:rPr>
        <w:t>competent</w:t>
      </w:r>
      <w:proofErr w:type="spellEnd"/>
      <w:r>
        <w:rPr>
          <w:sz w:val="22"/>
          <w:lang w:val="en-US"/>
        </w:rPr>
        <w:t xml:space="preserve"> people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half of the cases occur in children. A high prevalence of canine VL has been recorded in </w:t>
      </w:r>
      <w:smartTag w:uri="urn:schemas-microsoft-com:office:smarttags" w:element="State">
        <w:r w:rsidRPr="002C75B8">
          <w:rPr>
            <w:sz w:val="22"/>
            <w:lang w:val="en-US"/>
          </w:rPr>
          <w:t>Tuscany</w:t>
        </w:r>
      </w:smartTag>
      <w:r w:rsidRPr="002C75B8">
        <w:rPr>
          <w:sz w:val="22"/>
          <w:lang w:val="en-US"/>
        </w:rPr>
        <w:t xml:space="preserve">, </w:t>
      </w:r>
      <w:smartTag w:uri="urn:schemas-microsoft-com:office:smarttags" w:element="State">
        <w:r w:rsidRPr="002C75B8">
          <w:rPr>
            <w:sz w:val="22"/>
            <w:lang w:val="en-US"/>
          </w:rPr>
          <w:t>Sicily</w:t>
        </w:r>
      </w:smartTag>
      <w:r w:rsidRPr="002C75B8">
        <w:rPr>
          <w:sz w:val="22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2C75B8">
            <w:rPr>
              <w:sz w:val="22"/>
              <w:lang w:val="en-US"/>
            </w:rPr>
            <w:t>Puglia</w:t>
          </w:r>
        </w:smartTag>
      </w:smartTag>
      <w:r w:rsidRPr="002C75B8">
        <w:rPr>
          <w:sz w:val="22"/>
          <w:lang w:val="en-US"/>
        </w:rPr>
        <w:t xml:space="preserve">. 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</w:p>
    <w:p w:rsidR="0002459F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For the </w:t>
      </w:r>
      <w:proofErr w:type="spellStart"/>
      <w:r w:rsidRPr="002C75B8">
        <w:rPr>
          <w:sz w:val="22"/>
          <w:lang w:val="en-US"/>
        </w:rPr>
        <w:t>sandfly</w:t>
      </w:r>
      <w:proofErr w:type="spellEnd"/>
      <w:r w:rsidRPr="002C75B8">
        <w:rPr>
          <w:sz w:val="22"/>
          <w:lang w:val="en-US"/>
        </w:rPr>
        <w:t xml:space="preserve"> species of the subgenus </w:t>
      </w:r>
      <w:r w:rsidRPr="002C75B8">
        <w:rPr>
          <w:i/>
          <w:iCs/>
          <w:sz w:val="22"/>
          <w:lang w:val="en-US"/>
        </w:rPr>
        <w:t>P</w:t>
      </w:r>
      <w:r>
        <w:rPr>
          <w:i/>
          <w:iCs/>
          <w:sz w:val="22"/>
          <w:lang w:val="en-US"/>
        </w:rPr>
        <w:t xml:space="preserve">. </w:t>
      </w:r>
      <w:proofErr w:type="spellStart"/>
      <w:r w:rsidRPr="002C75B8">
        <w:rPr>
          <w:i/>
          <w:iCs/>
          <w:sz w:val="22"/>
          <w:lang w:val="en-US"/>
        </w:rPr>
        <w:t>Larioussious</w:t>
      </w:r>
      <w:proofErr w:type="spellEnd"/>
      <w:r w:rsidRPr="002C75B8">
        <w:rPr>
          <w:sz w:val="22"/>
          <w:lang w:val="en-US"/>
        </w:rPr>
        <w:t xml:space="preserve"> that are proven vectors of </w:t>
      </w:r>
      <w:r w:rsidRPr="002C75B8">
        <w:rPr>
          <w:i/>
          <w:iCs/>
          <w:sz w:val="22"/>
          <w:lang w:val="en-US"/>
        </w:rPr>
        <w:t>L. infantum</w:t>
      </w:r>
      <w:r w:rsidRPr="002C75B8">
        <w:rPr>
          <w:sz w:val="22"/>
          <w:lang w:val="en-US"/>
        </w:rPr>
        <w:t xml:space="preserve"> in the Mediterranean,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Italy</w:t>
          </w:r>
        </w:smartTag>
      </w:smartTag>
      <w:r w:rsidRPr="002C75B8">
        <w:rPr>
          <w:sz w:val="22"/>
          <w:lang w:val="en-US"/>
        </w:rPr>
        <w:t xml:space="preserve"> represents an east-west bridge. The western species </w:t>
      </w:r>
      <w:r w:rsidRPr="002C75B8">
        <w:rPr>
          <w:i/>
          <w:iCs/>
          <w:sz w:val="22"/>
          <w:lang w:val="en-US"/>
        </w:rPr>
        <w:t xml:space="preserve">P. </w:t>
      </w:r>
      <w:proofErr w:type="spellStart"/>
      <w:r w:rsidRPr="002C75B8">
        <w:rPr>
          <w:i/>
          <w:iCs/>
          <w:sz w:val="22"/>
          <w:lang w:val="en-US"/>
        </w:rPr>
        <w:t>perniciosus</w:t>
      </w:r>
      <w:proofErr w:type="spellEnd"/>
      <w:r w:rsidRPr="002C75B8">
        <w:rPr>
          <w:i/>
          <w:iCs/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and </w:t>
      </w:r>
      <w:r w:rsidRPr="002C75B8">
        <w:rPr>
          <w:i/>
          <w:iCs/>
          <w:sz w:val="22"/>
          <w:lang w:val="en-US"/>
        </w:rPr>
        <w:t xml:space="preserve">P. </w:t>
      </w:r>
      <w:proofErr w:type="spellStart"/>
      <w:r w:rsidRPr="002C75B8">
        <w:rPr>
          <w:i/>
          <w:iCs/>
          <w:sz w:val="22"/>
          <w:lang w:val="en-US"/>
        </w:rPr>
        <w:t>ariasi</w:t>
      </w:r>
      <w:proofErr w:type="spellEnd"/>
      <w:r>
        <w:rPr>
          <w:i/>
          <w:iCs/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as well as the eastern species </w:t>
      </w:r>
      <w:r w:rsidRPr="002C75B8">
        <w:rPr>
          <w:i/>
          <w:iCs/>
          <w:sz w:val="22"/>
          <w:lang w:val="en-US"/>
        </w:rPr>
        <w:t xml:space="preserve">P. </w:t>
      </w:r>
      <w:proofErr w:type="spellStart"/>
      <w:r w:rsidRPr="002C75B8">
        <w:rPr>
          <w:i/>
          <w:iCs/>
          <w:sz w:val="22"/>
          <w:lang w:val="en-US"/>
        </w:rPr>
        <w:t>neglectus</w:t>
      </w:r>
      <w:proofErr w:type="spellEnd"/>
      <w:r w:rsidRPr="002C75B8">
        <w:rPr>
          <w:sz w:val="22"/>
          <w:lang w:val="en-US"/>
        </w:rPr>
        <w:t xml:space="preserve"> and </w:t>
      </w:r>
      <w:r w:rsidRPr="002C75B8">
        <w:rPr>
          <w:i/>
          <w:iCs/>
          <w:sz w:val="22"/>
          <w:lang w:val="en-US"/>
        </w:rPr>
        <w:t xml:space="preserve">P. </w:t>
      </w:r>
      <w:proofErr w:type="spellStart"/>
      <w:r w:rsidRPr="002C75B8">
        <w:rPr>
          <w:i/>
          <w:iCs/>
          <w:sz w:val="22"/>
          <w:lang w:val="en-US"/>
        </w:rPr>
        <w:t>perfiliewi</w:t>
      </w:r>
      <w:proofErr w:type="spellEnd"/>
      <w:r>
        <w:rPr>
          <w:i/>
          <w:iCs/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are all found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Italy</w:t>
          </w:r>
        </w:smartTag>
      </w:smartTag>
      <w:r w:rsidRPr="002C75B8">
        <w:rPr>
          <w:sz w:val="22"/>
          <w:lang w:val="en-US"/>
        </w:rPr>
        <w:t xml:space="preserve">. 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</w:p>
    <w:p w:rsidR="0002459F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In 2003-2005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Italy provided the first evidence in Europe </w:t>
      </w:r>
      <w:r>
        <w:rPr>
          <w:sz w:val="22"/>
          <w:lang w:val="en-US"/>
        </w:rPr>
        <w:t>of</w:t>
      </w:r>
      <w:r w:rsidRPr="002C75B8">
        <w:rPr>
          <w:sz w:val="22"/>
          <w:lang w:val="en-US"/>
        </w:rPr>
        <w:t xml:space="preserve"> the emergence and northward spreading of VL transmission as a probable result of climatic modifications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associated to global warming (influencing dispersion and density of </w:t>
      </w:r>
      <w:proofErr w:type="spellStart"/>
      <w:r w:rsidRPr="002C75B8">
        <w:rPr>
          <w:sz w:val="22"/>
          <w:lang w:val="en-US"/>
        </w:rPr>
        <w:t>sandflies</w:t>
      </w:r>
      <w:proofErr w:type="spellEnd"/>
      <w:r w:rsidRPr="002C75B8">
        <w:rPr>
          <w:sz w:val="22"/>
          <w:lang w:val="en-US"/>
        </w:rPr>
        <w:t>)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and human behavioral factors (importin</w:t>
      </w:r>
      <w:r>
        <w:rPr>
          <w:sz w:val="22"/>
          <w:lang w:val="en-US"/>
        </w:rPr>
        <w:t>g</w:t>
      </w:r>
      <w:r w:rsidRPr="002C75B8">
        <w:rPr>
          <w:sz w:val="22"/>
          <w:lang w:val="en-US"/>
        </w:rPr>
        <w:t xml:space="preserve"> infected dogs into non-endemic areas). No cases of canine leishmaniasis were recorded in </w:t>
      </w:r>
      <w:r>
        <w:rPr>
          <w:sz w:val="22"/>
          <w:lang w:val="en-US"/>
        </w:rPr>
        <w:t xml:space="preserve">North Italy </w:t>
      </w:r>
      <w:r w:rsidRPr="002C75B8">
        <w:rPr>
          <w:sz w:val="22"/>
          <w:lang w:val="en-US"/>
        </w:rPr>
        <w:t>before, but a prospective survey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carried out between 2003 and 2005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detected 47 cases of canine leishmaniasis and 2% </w:t>
      </w:r>
      <w:proofErr w:type="spellStart"/>
      <w:r w:rsidRPr="002C75B8">
        <w:rPr>
          <w:sz w:val="22"/>
          <w:lang w:val="en-US"/>
        </w:rPr>
        <w:t>seropositivity</w:t>
      </w:r>
      <w:proofErr w:type="spellEnd"/>
      <w:r w:rsidRPr="002C75B8">
        <w:rPr>
          <w:sz w:val="22"/>
          <w:lang w:val="en-US"/>
        </w:rPr>
        <w:t xml:space="preserve"> among asymptomatic dogs</w:t>
      </w:r>
      <w:r>
        <w:rPr>
          <w:sz w:val="22"/>
          <w:lang w:val="en-US"/>
        </w:rPr>
        <w:t xml:space="preserve"> [2]</w:t>
      </w:r>
      <w:r w:rsidRPr="002C75B8">
        <w:rPr>
          <w:sz w:val="22"/>
          <w:lang w:val="en-US"/>
        </w:rPr>
        <w:t xml:space="preserve">. Since then, </w:t>
      </w:r>
      <w:proofErr w:type="spellStart"/>
      <w:r>
        <w:rPr>
          <w:sz w:val="22"/>
          <w:lang w:val="en-US"/>
        </w:rPr>
        <w:t>autochtonous</w:t>
      </w:r>
      <w:proofErr w:type="spellEnd"/>
      <w:r w:rsidRPr="002C75B8">
        <w:rPr>
          <w:sz w:val="22"/>
          <w:lang w:val="en-US"/>
        </w:rPr>
        <w:t xml:space="preserve"> cases of both VL and CL have </w:t>
      </w:r>
      <w:r w:rsidRPr="002C75B8">
        <w:rPr>
          <w:sz w:val="22"/>
          <w:lang w:val="en-US"/>
        </w:rPr>
        <w:lastRenderedPageBreak/>
        <w:t>been reported</w:t>
      </w:r>
      <w:r>
        <w:rPr>
          <w:sz w:val="22"/>
          <w:lang w:val="en-US"/>
        </w:rPr>
        <w:t xml:space="preserve"> from the area</w:t>
      </w:r>
      <w:r w:rsidRPr="002C75B8">
        <w:rPr>
          <w:sz w:val="22"/>
          <w:lang w:val="en-US"/>
        </w:rPr>
        <w:t xml:space="preserve">. It is not sure if the dog is the only reservoir. </w:t>
      </w:r>
      <w:proofErr w:type="spellStart"/>
      <w:r w:rsidRPr="002C75B8">
        <w:rPr>
          <w:sz w:val="22"/>
          <w:lang w:val="en-US"/>
        </w:rPr>
        <w:t>Sandfly</w:t>
      </w:r>
      <w:proofErr w:type="spellEnd"/>
      <w:r w:rsidRPr="002C75B8">
        <w:rPr>
          <w:sz w:val="22"/>
          <w:lang w:val="en-US"/>
        </w:rPr>
        <w:t xml:space="preserve"> vectors were identified near the Alps, even in </w:t>
      </w:r>
      <w:r>
        <w:rPr>
          <w:sz w:val="22"/>
          <w:lang w:val="en-US"/>
        </w:rPr>
        <w:t>Bolzano/</w:t>
      </w:r>
      <w:proofErr w:type="spellStart"/>
      <w:r w:rsidRPr="002C75B8">
        <w:rPr>
          <w:sz w:val="22"/>
          <w:lang w:val="en-US"/>
        </w:rPr>
        <w:t>Bozen</w:t>
      </w:r>
      <w:proofErr w:type="spellEnd"/>
      <w:r w:rsidRPr="002C75B8">
        <w:rPr>
          <w:sz w:val="22"/>
          <w:lang w:val="en-US"/>
        </w:rPr>
        <w:t xml:space="preserve"> and near the </w:t>
      </w:r>
      <w:smartTag w:uri="urn:schemas-microsoft-com:office:smarttags" w:element="place">
        <w:r w:rsidRPr="002C75B8">
          <w:rPr>
            <w:sz w:val="22"/>
            <w:lang w:val="en-US"/>
          </w:rPr>
          <w:t>Mont Blanc</w:t>
        </w:r>
      </w:smartTag>
      <w:r w:rsidRPr="002C75B8">
        <w:rPr>
          <w:sz w:val="22"/>
          <w:lang w:val="en-US"/>
        </w:rPr>
        <w:t>.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</w:p>
    <w:p w:rsidR="0002459F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CL </w:t>
      </w:r>
      <w:r>
        <w:rPr>
          <w:sz w:val="22"/>
          <w:lang w:val="en-US"/>
        </w:rPr>
        <w:t>has been</w:t>
      </w:r>
      <w:r w:rsidRPr="002C75B8">
        <w:rPr>
          <w:sz w:val="22"/>
          <w:lang w:val="en-US"/>
        </w:rPr>
        <w:t xml:space="preserve"> endemic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Italy</w:t>
          </w:r>
        </w:smartTag>
      </w:smartTag>
      <w:r w:rsidRPr="002C75B8">
        <w:rPr>
          <w:sz w:val="22"/>
          <w:lang w:val="en-US"/>
        </w:rPr>
        <w:t xml:space="preserve"> at a relatively constant level since the 1970s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in</w:t>
      </w:r>
      <w:r w:rsidRPr="002C75B8">
        <w:rPr>
          <w:sz w:val="22"/>
          <w:lang w:val="en-US"/>
        </w:rPr>
        <w:t xml:space="preserve"> the same areas that are endemic for VL. </w:t>
      </w:r>
      <w:r w:rsidRPr="00821840">
        <w:rPr>
          <w:sz w:val="22"/>
          <w:lang w:val="en-US"/>
        </w:rPr>
        <w:t xml:space="preserve">CL is largely underreported to </w:t>
      </w:r>
      <w:r>
        <w:rPr>
          <w:sz w:val="22"/>
          <w:lang w:val="en-US"/>
        </w:rPr>
        <w:t xml:space="preserve">the </w:t>
      </w:r>
      <w:r w:rsidRPr="00821840">
        <w:rPr>
          <w:sz w:val="22"/>
          <w:lang w:val="en-US"/>
        </w:rPr>
        <w:t>MoH</w:t>
      </w:r>
      <w:r w:rsidRPr="002C75B8">
        <w:rPr>
          <w:sz w:val="22"/>
          <w:lang w:val="en-US"/>
        </w:rPr>
        <w:t xml:space="preserve">. Only cases that are diagnosed and treated in hospitals are reported, but those diagnosed in private clinics are not. It was estimated that 450–500 cases occurred </w:t>
      </w:r>
      <w:r>
        <w:rPr>
          <w:sz w:val="22"/>
          <w:lang w:val="en-US"/>
        </w:rPr>
        <w:t>both</w:t>
      </w:r>
      <w:r w:rsidRPr="002C75B8">
        <w:rPr>
          <w:sz w:val="22"/>
          <w:lang w:val="en-US"/>
        </w:rPr>
        <w:t xml:space="preserve"> in 2004 and 2005.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</w:p>
    <w:p w:rsidR="0002459F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HIV/</w:t>
      </w:r>
      <w:r w:rsidRPr="002C75B8">
        <w:rPr>
          <w:i/>
          <w:iCs/>
          <w:sz w:val="22"/>
          <w:lang w:val="en-US"/>
        </w:rPr>
        <w:t>Leishmania</w:t>
      </w:r>
      <w:r w:rsidRPr="002C75B8">
        <w:rPr>
          <w:sz w:val="22"/>
          <w:lang w:val="en-US"/>
        </w:rPr>
        <w:t xml:space="preserve"> co</w:t>
      </w:r>
      <w:r>
        <w:rPr>
          <w:sz w:val="22"/>
          <w:lang w:val="en-US"/>
        </w:rPr>
        <w:t>-</w:t>
      </w:r>
      <w:r w:rsidRPr="002C75B8">
        <w:rPr>
          <w:sz w:val="22"/>
          <w:lang w:val="en-US"/>
        </w:rPr>
        <w:t>infection rose steadily until 1997, after which</w:t>
      </w:r>
      <w:r>
        <w:rPr>
          <w:sz w:val="22"/>
          <w:lang w:val="en-US"/>
        </w:rPr>
        <w:t xml:space="preserve"> the</w:t>
      </w:r>
      <w:r w:rsidRPr="002C75B8">
        <w:rPr>
          <w:sz w:val="22"/>
          <w:lang w:val="en-US"/>
        </w:rPr>
        <w:t xml:space="preserve"> incidence decreased </w:t>
      </w:r>
      <w:r>
        <w:rPr>
          <w:sz w:val="22"/>
          <w:lang w:val="en-US"/>
        </w:rPr>
        <w:t>sharply as</w:t>
      </w:r>
      <w:r w:rsidRPr="002C75B8">
        <w:rPr>
          <w:sz w:val="22"/>
          <w:lang w:val="en-US"/>
        </w:rPr>
        <w:t xml:space="preserve"> HAART was introduced. In 2007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6 cases were reported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>(1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>5%). In general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leishmaniasis is thought to be underreported in patients with multiple pathologies.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t>PARASITOLOGICAL INFORMATION</w:t>
      </w:r>
    </w:p>
    <w:p w:rsidR="0002459F" w:rsidRPr="002C75B8" w:rsidRDefault="0002459F" w:rsidP="0002459F">
      <w:pPr>
        <w:ind w:left="0" w:firstLine="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1620"/>
        <w:gridCol w:w="3258"/>
        <w:gridCol w:w="2268"/>
      </w:tblGrid>
      <w:tr w:rsidR="0002459F" w:rsidRPr="002C75B8" w:rsidTr="00A7768B">
        <w:tc>
          <w:tcPr>
            <w:tcW w:w="1908" w:type="dxa"/>
            <w:vAlign w:val="center"/>
          </w:tcPr>
          <w:p w:rsidR="0002459F" w:rsidRPr="002C75B8" w:rsidRDefault="0002459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620" w:type="dxa"/>
            <w:vAlign w:val="center"/>
          </w:tcPr>
          <w:p w:rsidR="0002459F" w:rsidRPr="002C75B8" w:rsidRDefault="0002459F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2459F" w:rsidRPr="002C75B8" w:rsidRDefault="0002459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3258" w:type="dxa"/>
            <w:vAlign w:val="center"/>
          </w:tcPr>
          <w:p w:rsidR="0002459F" w:rsidRPr="002C75B8" w:rsidRDefault="0002459F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2459F" w:rsidRPr="002C75B8" w:rsidRDefault="0002459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268" w:type="dxa"/>
            <w:vAlign w:val="center"/>
          </w:tcPr>
          <w:p w:rsidR="0002459F" w:rsidRPr="002C75B8" w:rsidRDefault="0002459F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2459F" w:rsidRPr="002C75B8" w:rsidRDefault="0002459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02459F" w:rsidRPr="002C75B8" w:rsidTr="00A7768B">
        <w:tc>
          <w:tcPr>
            <w:tcW w:w="1908" w:type="dxa"/>
            <w:vAlign w:val="center"/>
          </w:tcPr>
          <w:p w:rsidR="0002459F" w:rsidRPr="002C75B8" w:rsidRDefault="0002459F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1620" w:type="dxa"/>
            <w:vAlign w:val="center"/>
          </w:tcPr>
          <w:p w:rsidR="0002459F" w:rsidRPr="002C75B8" w:rsidRDefault="0002459F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ZVL, CL</w:t>
            </w:r>
          </w:p>
        </w:tc>
        <w:tc>
          <w:tcPr>
            <w:tcW w:w="3258" w:type="dxa"/>
            <w:vAlign w:val="center"/>
          </w:tcPr>
          <w:p w:rsidR="0002459F" w:rsidRPr="002C75B8" w:rsidRDefault="0002459F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ES"/>
              </w:rPr>
              <w:t xml:space="preserve">P. 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ES"/>
              </w:rPr>
              <w:t>perniciosus</w:t>
            </w:r>
            <w:proofErr w:type="spellEnd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ES"/>
              </w:rPr>
              <w:t>,</w:t>
            </w:r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ES"/>
              </w:rPr>
              <w:t xml:space="preserve"> </w:t>
            </w: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ES"/>
              </w:rPr>
              <w:t>perfiliewi</w:t>
            </w:r>
            <w:proofErr w:type="spellEnd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ES"/>
              </w:rPr>
              <w:t>,</w:t>
            </w:r>
          </w:p>
          <w:p w:rsidR="0002459F" w:rsidRPr="002C75B8" w:rsidRDefault="0002459F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ES"/>
              </w:rPr>
              <w:t>neglectus</w:t>
            </w:r>
            <w:proofErr w:type="spellEnd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ES"/>
              </w:rPr>
              <w:t xml:space="preserve">, P.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ES"/>
              </w:rPr>
              <w:t>ariasi</w:t>
            </w:r>
            <w:proofErr w:type="spellEnd"/>
          </w:p>
        </w:tc>
        <w:tc>
          <w:tcPr>
            <w:tcW w:w="2268" w:type="dxa"/>
            <w:vAlign w:val="center"/>
          </w:tcPr>
          <w:p w:rsidR="0002459F" w:rsidRDefault="0002459F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</w:pPr>
            <w:proofErr w:type="spellStart"/>
            <w:r w:rsidRPr="0034534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ES"/>
              </w:rPr>
              <w:t>Canis</w:t>
            </w:r>
            <w:proofErr w:type="spellEnd"/>
            <w:r w:rsidRPr="0034534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4534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ES"/>
              </w:rPr>
              <w:t>familaris</w:t>
            </w:r>
            <w:proofErr w:type="spellEnd"/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 xml:space="preserve">, </w:t>
            </w:r>
          </w:p>
          <w:p w:rsidR="0002459F" w:rsidRPr="002C75B8" w:rsidRDefault="0002459F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V</w:t>
            </w:r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ulpes</w:t>
            </w:r>
            <w:proofErr w:type="spellEnd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vulpes</w:t>
            </w:r>
            <w:proofErr w:type="spellEnd"/>
          </w:p>
        </w:tc>
      </w:tr>
    </w:tbl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MAPS AND TRENDS</w:t>
      </w: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Visceral leishmaniasis</w:t>
      </w:r>
    </w:p>
    <w:p w:rsidR="0002459F" w:rsidRDefault="0002459F" w:rsidP="0002459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   </w:t>
      </w:r>
    </w:p>
    <w:p w:rsidR="0002459F" w:rsidRDefault="0002459F" w:rsidP="0002459F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55245</wp:posOffset>
            </wp:positionV>
            <wp:extent cx="3314700" cy="2486660"/>
            <wp:effectExtent l="19050" t="0" r="0" b="0"/>
            <wp:wrapNone/>
            <wp:docPr id="5" name="Picture 5" descr="IT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VLIRm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55245</wp:posOffset>
            </wp:positionV>
            <wp:extent cx="3484880" cy="2462530"/>
            <wp:effectExtent l="19050" t="0" r="1270" b="0"/>
            <wp:wrapNone/>
            <wp:docPr id="4" name="Picture 4" descr="ITV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VLmo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46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   </w:t>
      </w: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>Cutaneous leishmaniasis</w:t>
      </w:r>
    </w:p>
    <w:p w:rsidR="0002459F" w:rsidRDefault="0002459F" w:rsidP="0002459F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116205</wp:posOffset>
            </wp:positionV>
            <wp:extent cx="3471545" cy="2455545"/>
            <wp:effectExtent l="19050" t="0" r="0" b="0"/>
            <wp:wrapNone/>
            <wp:docPr id="6" name="Picture 6" descr="IT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CLmo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245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75B8">
        <w:rPr>
          <w:b/>
          <w:sz w:val="22"/>
          <w:lang w:val="en-US"/>
        </w:rPr>
        <w:t xml:space="preserve">     </w:t>
      </w:r>
    </w:p>
    <w:p w:rsidR="0002459F" w:rsidRDefault="0002459F" w:rsidP="0002459F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21590</wp:posOffset>
            </wp:positionV>
            <wp:extent cx="3258820" cy="2304415"/>
            <wp:effectExtent l="19050" t="0" r="0" b="0"/>
            <wp:wrapNone/>
            <wp:docPr id="7" name="Picture 7" descr="ITC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TCLIRm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Visceral leishmaniasis trend</w:t>
      </w:r>
    </w:p>
    <w:p w:rsidR="0002459F" w:rsidRDefault="0002459F" w:rsidP="0002459F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147955</wp:posOffset>
            </wp:positionV>
            <wp:extent cx="7429500" cy="2400300"/>
            <wp:effectExtent l="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46355</wp:posOffset>
            </wp:positionV>
            <wp:extent cx="6858000" cy="2854960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2C75B8">
        <w:rPr>
          <w:b/>
          <w:sz w:val="22"/>
          <w:lang w:val="en-US"/>
        </w:rPr>
        <w:t>Cutaneous leishmaniasis trend</w:t>
      </w: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Default="0002459F" w:rsidP="0002459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 w:rsidRPr="002C75B8">
        <w:rPr>
          <w:rFonts w:eastAsia="Times New Roman"/>
          <w:b/>
          <w:bCs/>
          <w:sz w:val="22"/>
          <w:lang w:val="en-US" w:eastAsia="es-ES"/>
        </w:rPr>
        <w:lastRenderedPageBreak/>
        <w:t>CONTROL</w:t>
      </w:r>
    </w:p>
    <w:p w:rsidR="0002459F" w:rsidRPr="002C75B8" w:rsidRDefault="0002459F" w:rsidP="0002459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02459F" w:rsidRPr="002C75B8" w:rsidRDefault="0002459F" w:rsidP="0002459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 w:rsidRPr="002C75B8">
        <w:rPr>
          <w:rFonts w:eastAsia="Times New Roman"/>
          <w:sz w:val="22"/>
          <w:lang w:val="en-US" w:eastAsia="es-ES"/>
        </w:rPr>
        <w:t xml:space="preserve">The notification of leishmaniasis </w:t>
      </w:r>
      <w:r>
        <w:rPr>
          <w:rFonts w:eastAsia="Times New Roman"/>
          <w:sz w:val="22"/>
          <w:lang w:val="en-US" w:eastAsia="es-ES"/>
        </w:rPr>
        <w:t>has been</w:t>
      </w:r>
      <w:r w:rsidRPr="002C75B8">
        <w:rPr>
          <w:rFonts w:eastAsia="Times New Roman"/>
          <w:sz w:val="22"/>
          <w:lang w:val="en-US" w:eastAsia="es-ES"/>
        </w:rPr>
        <w:t xml:space="preserve"> mandatory since 1937 (VL and CL separately, but for VL no distinction between primary and relapsed cases). There is no national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>eishmaniasis control program</w:t>
      </w:r>
      <w:r>
        <w:rPr>
          <w:rFonts w:eastAsia="Times New Roman"/>
          <w:sz w:val="22"/>
          <w:lang w:val="en-US" w:eastAsia="es-ES"/>
        </w:rPr>
        <w:t xml:space="preserve"> and</w:t>
      </w:r>
      <w:r w:rsidRPr="002C75B8">
        <w:rPr>
          <w:rFonts w:eastAsia="Times New Roman"/>
          <w:sz w:val="22"/>
          <w:lang w:val="en-US" w:eastAsia="es-ES"/>
        </w:rPr>
        <w:t xml:space="preserve"> no leishmaniasis vector control program. Insecticide spraying is not done. </w:t>
      </w:r>
      <w:r>
        <w:rPr>
          <w:rFonts w:eastAsia="Times New Roman"/>
          <w:sz w:val="22"/>
          <w:lang w:val="en-US" w:eastAsia="es-ES"/>
        </w:rPr>
        <w:t>A</w:t>
      </w:r>
      <w:r w:rsidRPr="002C75B8">
        <w:rPr>
          <w:rFonts w:eastAsia="Times New Roman"/>
          <w:sz w:val="22"/>
          <w:lang w:val="en-US" w:eastAsia="es-ES"/>
        </w:rPr>
        <w:t xml:space="preserve"> leishmaniasis reservoir control program</w:t>
      </w:r>
      <w:r>
        <w:rPr>
          <w:rFonts w:eastAsia="Times New Roman"/>
          <w:sz w:val="22"/>
          <w:lang w:val="en-US" w:eastAsia="es-ES"/>
        </w:rPr>
        <w:t xml:space="preserve"> exists</w:t>
      </w:r>
      <w:r w:rsidRPr="002C75B8">
        <w:rPr>
          <w:rFonts w:eastAsia="Times New Roman"/>
          <w:sz w:val="22"/>
          <w:lang w:val="en-US" w:eastAsia="es-ES"/>
        </w:rPr>
        <w:t xml:space="preserve"> in 2 regions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addressing canine leishmaniasis. Serological surveys of dogs are regularly performed. Positive dogs are not sacrificed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but treated and monitored. </w:t>
      </w:r>
    </w:p>
    <w:p w:rsidR="0002459F" w:rsidRDefault="0002459F" w:rsidP="0002459F">
      <w:pPr>
        <w:ind w:left="0" w:firstLine="0"/>
        <w:rPr>
          <w:rFonts w:eastAsia="Times New Roman"/>
          <w:sz w:val="22"/>
          <w:lang w:val="en-US" w:eastAsia="es-ES"/>
        </w:rPr>
      </w:pPr>
    </w:p>
    <w:p w:rsidR="0002459F" w:rsidRPr="002C75B8" w:rsidRDefault="0002459F" w:rsidP="0002459F">
      <w:pPr>
        <w:ind w:left="0" w:firstLine="0"/>
        <w:rPr>
          <w:rFonts w:eastAsia="Times New Roman"/>
          <w:sz w:val="22"/>
          <w:lang w:val="en-US" w:eastAsia="es-ES"/>
        </w:rPr>
      </w:pPr>
    </w:p>
    <w:p w:rsidR="0002459F" w:rsidRDefault="0002459F" w:rsidP="0002459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02459F" w:rsidRPr="002C75B8" w:rsidRDefault="0002459F" w:rsidP="0002459F">
      <w:pPr>
        <w:ind w:left="0" w:firstLine="0"/>
        <w:rPr>
          <w:b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</w:t>
      </w:r>
    </w:p>
    <w:p w:rsidR="0002459F" w:rsidRDefault="0002459F" w:rsidP="0002459F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Well-equipped diagnostic laboratories are available in hospitals, university clinics and public health institutions. Definitive diagnosis of leishmaniasis is mainly performed at specialized reference institutes.</w:t>
      </w:r>
    </w:p>
    <w:p w:rsidR="0002459F" w:rsidRPr="002C75B8" w:rsidRDefault="0002459F" w:rsidP="0002459F">
      <w:pPr>
        <w:ind w:left="0" w:firstLine="0"/>
        <w:rPr>
          <w:bCs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Treatment</w:t>
      </w:r>
    </w:p>
    <w:p w:rsidR="0002459F" w:rsidRPr="00EF6EC8" w:rsidRDefault="0002459F" w:rsidP="0002459F">
      <w:pPr>
        <w:ind w:left="0" w:firstLine="0"/>
        <w:rPr>
          <w:bCs/>
          <w:sz w:val="22"/>
          <w:lang w:val="en-US"/>
        </w:rPr>
      </w:pPr>
      <w:r w:rsidRPr="00EF6EC8">
        <w:rPr>
          <w:sz w:val="22"/>
          <w:lang w:val="en-US"/>
        </w:rPr>
        <w:t>VL:</w:t>
      </w:r>
      <w:r w:rsidRPr="00EF6EC8">
        <w:rPr>
          <w:bCs/>
          <w:sz w:val="22"/>
          <w:lang w:val="en-US"/>
        </w:rPr>
        <w:t xml:space="preserve"> liposomal amphotericin B 3 mg/kg/day for 6-7 days. Cure rate &gt; 95%, relapse in &lt; 4%.</w:t>
      </w:r>
    </w:p>
    <w:p w:rsidR="0002459F" w:rsidRPr="00EF6EC8" w:rsidRDefault="0002459F" w:rsidP="0002459F">
      <w:pPr>
        <w:ind w:left="0" w:firstLine="0"/>
        <w:rPr>
          <w:bCs/>
          <w:sz w:val="22"/>
          <w:lang w:val="en-US"/>
        </w:rPr>
      </w:pPr>
      <w:r w:rsidRPr="00EF6EC8">
        <w:rPr>
          <w:sz w:val="22"/>
          <w:lang w:val="en-US"/>
        </w:rPr>
        <w:t>VL/HIV:</w:t>
      </w:r>
      <w:r w:rsidRPr="00EF6EC8">
        <w:rPr>
          <w:bCs/>
          <w:sz w:val="22"/>
          <w:lang w:val="en-US"/>
        </w:rPr>
        <w:t xml:space="preserve"> miltefosine 2.5 mg/kg/day for 28 days. No definitive cure. </w:t>
      </w:r>
    </w:p>
    <w:p w:rsidR="0002459F" w:rsidRDefault="0002459F" w:rsidP="0002459F">
      <w:pPr>
        <w:ind w:left="0" w:firstLine="0"/>
        <w:rPr>
          <w:bCs/>
          <w:sz w:val="22"/>
          <w:lang w:val="en-US"/>
        </w:rPr>
      </w:pPr>
      <w:r w:rsidRPr="00EF6EC8">
        <w:rPr>
          <w:sz w:val="22"/>
          <w:lang w:val="en-US"/>
        </w:rPr>
        <w:t>CL</w:t>
      </w:r>
      <w:r w:rsidRPr="00EF6EC8">
        <w:rPr>
          <w:bCs/>
          <w:sz w:val="22"/>
          <w:lang w:val="en-US"/>
        </w:rPr>
        <w:t>: antimonials</w:t>
      </w:r>
      <w:r w:rsidRPr="002C75B8">
        <w:rPr>
          <w:bCs/>
          <w:sz w:val="22"/>
          <w:lang w:val="en-US"/>
        </w:rPr>
        <w:t xml:space="preserve">, 20 mg </w:t>
      </w:r>
      <w:proofErr w:type="spellStart"/>
      <w:r w:rsidRPr="002C75B8">
        <w:rPr>
          <w:bCs/>
          <w:sz w:val="22"/>
          <w:lang w:val="en-US"/>
        </w:rPr>
        <w:t>Sb</w:t>
      </w:r>
      <w:r>
        <w:rPr>
          <w:bCs/>
          <w:sz w:val="22"/>
          <w:vertAlign w:val="superscript"/>
          <w:lang w:val="en-US"/>
        </w:rPr>
        <w:t>v</w:t>
      </w:r>
      <w:proofErr w:type="spellEnd"/>
      <w:r w:rsidRPr="002C75B8">
        <w:rPr>
          <w:bCs/>
          <w:sz w:val="22"/>
          <w:lang w:val="en-US"/>
        </w:rPr>
        <w:t xml:space="preserve"> /kg/day. </w:t>
      </w:r>
      <w:proofErr w:type="gramStart"/>
      <w:r w:rsidRPr="002C75B8">
        <w:rPr>
          <w:bCs/>
          <w:sz w:val="22"/>
          <w:lang w:val="en-US"/>
        </w:rPr>
        <w:t>Cure rate &gt; 95%, recurring in &lt;4%</w:t>
      </w:r>
      <w:r>
        <w:rPr>
          <w:bCs/>
          <w:sz w:val="22"/>
          <w:lang w:val="en-US"/>
        </w:rPr>
        <w:t>.</w:t>
      </w:r>
      <w:proofErr w:type="gramEnd"/>
    </w:p>
    <w:p w:rsidR="0002459F" w:rsidRPr="002C75B8" w:rsidRDefault="0002459F" w:rsidP="0002459F">
      <w:pPr>
        <w:ind w:left="0" w:firstLine="0"/>
        <w:rPr>
          <w:bCs/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bCs/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Treatment for VL is given free of charge at public hospitals. There is no standard treatment for CL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which is often given in private clinics. All patients are thought to have access to care. </w:t>
      </w:r>
    </w:p>
    <w:p w:rsidR="0002459F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 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</w:p>
    <w:p w:rsidR="0002459F" w:rsidRDefault="0002459F" w:rsidP="0002459F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ACCESS TO DRUGS</w:t>
      </w:r>
      <w:r w:rsidRPr="002C75B8">
        <w:rPr>
          <w:sz w:val="22"/>
          <w:lang w:val="en-US"/>
        </w:rPr>
        <w:t xml:space="preserve"> </w:t>
      </w: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Liposomal amphotericin B (AmBisome</w:t>
      </w:r>
      <w:r>
        <w:rPr>
          <w:sz w:val="22"/>
          <w:lang w:val="en-US"/>
        </w:rPr>
        <w:t>, Gilead</w:t>
      </w:r>
      <w:r w:rsidRPr="002C75B8">
        <w:rPr>
          <w:sz w:val="22"/>
          <w:lang w:val="en-US"/>
        </w:rPr>
        <w:t xml:space="preserve">) is registered in Italy. Miltefosine and antimonials are not registered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Italy</w:t>
          </w:r>
        </w:smartTag>
      </w:smartTag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which means that they need to be imported under special MoH permission. This can cause delays in treatment. </w:t>
      </w:r>
    </w:p>
    <w:p w:rsidR="0002459F" w:rsidRDefault="0002459F" w:rsidP="0002459F">
      <w:pPr>
        <w:ind w:left="0" w:firstLine="0"/>
        <w:rPr>
          <w:sz w:val="22"/>
          <w:lang w:val="en-US"/>
        </w:rPr>
      </w:pPr>
    </w:p>
    <w:p w:rsidR="0002459F" w:rsidRPr="002C75B8" w:rsidRDefault="0002459F" w:rsidP="0002459F">
      <w:pPr>
        <w:ind w:left="0" w:firstLine="0"/>
        <w:rPr>
          <w:sz w:val="22"/>
          <w:lang w:val="en-US"/>
        </w:rPr>
      </w:pPr>
    </w:p>
    <w:p w:rsidR="0002459F" w:rsidRDefault="0002459F" w:rsidP="0002459F">
      <w:pPr>
        <w:ind w:left="0" w:firstLine="0"/>
        <w:rPr>
          <w:b/>
          <w:sz w:val="22"/>
          <w:lang w:val="it-IT"/>
        </w:rPr>
      </w:pPr>
      <w:r w:rsidRPr="00B668EF">
        <w:rPr>
          <w:b/>
          <w:sz w:val="22"/>
          <w:lang w:val="it-IT"/>
        </w:rPr>
        <w:t>SOURCES OF INFORMATION</w:t>
      </w:r>
    </w:p>
    <w:p w:rsidR="0002459F" w:rsidRPr="00B668EF" w:rsidRDefault="0002459F" w:rsidP="0002459F">
      <w:pPr>
        <w:ind w:left="0" w:firstLine="0"/>
        <w:rPr>
          <w:b/>
          <w:sz w:val="22"/>
          <w:lang w:val="it-IT"/>
        </w:rPr>
      </w:pPr>
    </w:p>
    <w:p w:rsidR="0002459F" w:rsidRPr="00DE5798" w:rsidRDefault="0002459F" w:rsidP="0002459F">
      <w:pPr>
        <w:numPr>
          <w:ilvl w:val="0"/>
          <w:numId w:val="5"/>
        </w:numPr>
        <w:ind w:right="-1"/>
        <w:rPr>
          <w:bCs/>
          <w:i/>
          <w:iCs/>
          <w:sz w:val="22"/>
          <w:lang w:val="en-GB"/>
        </w:rPr>
      </w:pPr>
      <w:r w:rsidRPr="00DE5798">
        <w:rPr>
          <w:sz w:val="22"/>
          <w:lang w:val="it-IT"/>
        </w:rPr>
        <w:t xml:space="preserve">Dr. L. Gradoni, Istituto Superiore di Sanità , Rome. </w:t>
      </w:r>
      <w:r w:rsidRPr="00DE5798">
        <w:rPr>
          <w:bCs/>
          <w:i/>
          <w:iCs/>
          <w:sz w:val="22"/>
          <w:lang w:val="en-GB"/>
        </w:rPr>
        <w:t xml:space="preserve">Leishmaniasis in the European Region, a </w:t>
      </w:r>
      <w:r>
        <w:rPr>
          <w:bCs/>
          <w:i/>
          <w:iCs/>
          <w:sz w:val="22"/>
          <w:lang w:val="en-GB"/>
        </w:rPr>
        <w:t xml:space="preserve">WHO </w:t>
      </w:r>
      <w:r w:rsidRPr="00DE5798">
        <w:rPr>
          <w:bCs/>
          <w:i/>
          <w:iCs/>
          <w:sz w:val="22"/>
          <w:lang w:val="en-GB"/>
        </w:rPr>
        <w:t xml:space="preserve">consultative </w:t>
      </w:r>
      <w:proofErr w:type="spellStart"/>
      <w:r w:rsidRPr="00DE5798">
        <w:rPr>
          <w:bCs/>
          <w:i/>
          <w:iCs/>
          <w:sz w:val="22"/>
          <w:lang w:val="en-GB"/>
        </w:rPr>
        <w:t>intercountry</w:t>
      </w:r>
      <w:proofErr w:type="spellEnd"/>
      <w:r w:rsidRPr="00DE5798">
        <w:rPr>
          <w:bCs/>
          <w:i/>
          <w:iCs/>
          <w:sz w:val="22"/>
          <w:lang w:val="en-GB"/>
        </w:rPr>
        <w:t xml:space="preserve"> meeting, </w:t>
      </w:r>
      <w:smartTag w:uri="urn:schemas-microsoft-com:office:smarttags" w:element="City">
        <w:r w:rsidRPr="00DE5798">
          <w:rPr>
            <w:bCs/>
            <w:i/>
            <w:iCs/>
            <w:sz w:val="22"/>
            <w:lang w:val="en-GB"/>
          </w:rPr>
          <w:t>Istanbul</w:t>
        </w:r>
      </w:smartTag>
      <w:r w:rsidRPr="00DE5798">
        <w:rPr>
          <w:bCs/>
          <w:i/>
          <w:iCs/>
          <w:sz w:val="22"/>
          <w:lang w:val="en-GB"/>
        </w:rPr>
        <w:t>, Turkey, 17–19 November 2009</w:t>
      </w:r>
      <w:r>
        <w:rPr>
          <w:bCs/>
          <w:i/>
          <w:iCs/>
          <w:sz w:val="22"/>
          <w:lang w:val="en-GB"/>
        </w:rPr>
        <w:t>.</w:t>
      </w:r>
    </w:p>
    <w:p w:rsidR="0002459F" w:rsidRPr="00DE5798" w:rsidRDefault="0002459F" w:rsidP="0002459F">
      <w:pPr>
        <w:rPr>
          <w:sz w:val="22"/>
          <w:lang w:val="en-GB"/>
        </w:rPr>
      </w:pPr>
    </w:p>
    <w:p w:rsidR="0002459F" w:rsidRPr="00DE5798" w:rsidRDefault="0002459F" w:rsidP="0002459F">
      <w:pPr>
        <w:ind w:left="0" w:firstLine="0"/>
        <w:rPr>
          <w:color w:val="000000"/>
          <w:sz w:val="22"/>
          <w:lang w:val="en-GB"/>
        </w:rPr>
      </w:pPr>
    </w:p>
    <w:p w:rsidR="0002459F" w:rsidRPr="0002459F" w:rsidRDefault="0002459F" w:rsidP="0002459F">
      <w:pPr>
        <w:pStyle w:val="ListParagraph"/>
        <w:numPr>
          <w:ilvl w:val="0"/>
          <w:numId w:val="7"/>
        </w:numPr>
        <w:rPr>
          <w:sz w:val="22"/>
          <w:lang w:val="en-US"/>
        </w:rPr>
      </w:pPr>
      <w:r w:rsidRPr="0002459F">
        <w:rPr>
          <w:color w:val="000000"/>
          <w:sz w:val="22"/>
          <w:lang w:val="en-US"/>
        </w:rPr>
        <w:t xml:space="preserve">Desjeux P (1991). Information on the epidemiology and </w:t>
      </w:r>
      <w:r w:rsidRPr="0002459F">
        <w:rPr>
          <w:color w:val="000000"/>
          <w:sz w:val="22"/>
          <w:lang w:val="en-US"/>
        </w:rPr>
        <w:t xml:space="preserve">control of the leishmaniases by </w:t>
      </w:r>
      <w:r w:rsidRPr="0002459F">
        <w:rPr>
          <w:color w:val="000000"/>
          <w:sz w:val="22"/>
          <w:lang w:val="en-US"/>
        </w:rPr>
        <w:t xml:space="preserve">country or territory. </w:t>
      </w:r>
      <w:r w:rsidRPr="0002459F">
        <w:rPr>
          <w:sz w:val="22"/>
          <w:lang w:val="en-US"/>
        </w:rPr>
        <w:t>WHO/LEISH/91.30.</w:t>
      </w:r>
    </w:p>
    <w:p w:rsidR="0002459F" w:rsidRPr="0002459F" w:rsidRDefault="0002459F" w:rsidP="0002459F">
      <w:pPr>
        <w:ind w:left="0" w:firstLine="0"/>
        <w:rPr>
          <w:sz w:val="22"/>
          <w:lang w:val="en-US"/>
        </w:rPr>
      </w:pPr>
    </w:p>
    <w:p w:rsidR="002F7C1A" w:rsidRDefault="0002459F" w:rsidP="0002459F">
      <w:pPr>
        <w:pStyle w:val="ListParagraph"/>
        <w:numPr>
          <w:ilvl w:val="0"/>
          <w:numId w:val="7"/>
        </w:numPr>
      </w:pPr>
      <w:proofErr w:type="spellStart"/>
      <w:r w:rsidRPr="0002459F">
        <w:rPr>
          <w:color w:val="000000"/>
          <w:sz w:val="22"/>
          <w:lang w:val="en-GB"/>
        </w:rPr>
        <w:t>Maroli</w:t>
      </w:r>
      <w:proofErr w:type="spellEnd"/>
      <w:r w:rsidRPr="0002459F">
        <w:rPr>
          <w:color w:val="000000"/>
          <w:sz w:val="22"/>
          <w:lang w:val="en-GB"/>
        </w:rPr>
        <w:t xml:space="preserve"> </w:t>
      </w:r>
      <w:r w:rsidRPr="0002459F">
        <w:rPr>
          <w:color w:val="000000"/>
          <w:sz w:val="22"/>
          <w:lang w:val="it-IT"/>
        </w:rPr>
        <w:t xml:space="preserve">M, Rossi L, Baldelli R, Capelli G, Ferroglio E et al (2008). The northward spread of leishmaniasis in Italy: evidence from retrospective and ongoing studies on the canine reservoir and phlebotomine vectors. </w:t>
      </w:r>
      <w:proofErr w:type="spellStart"/>
      <w:r w:rsidRPr="0002459F">
        <w:rPr>
          <w:color w:val="000000"/>
          <w:sz w:val="22"/>
          <w:lang w:val="en-US"/>
        </w:rPr>
        <w:t>Trop</w:t>
      </w:r>
      <w:proofErr w:type="spellEnd"/>
      <w:r w:rsidRPr="0002459F">
        <w:rPr>
          <w:color w:val="000000"/>
          <w:sz w:val="22"/>
          <w:lang w:val="en-US"/>
        </w:rPr>
        <w:t xml:space="preserve"> Med </w:t>
      </w:r>
      <w:proofErr w:type="spellStart"/>
      <w:r w:rsidRPr="0002459F">
        <w:rPr>
          <w:color w:val="000000"/>
          <w:sz w:val="22"/>
          <w:lang w:val="en-US"/>
        </w:rPr>
        <w:t>Int</w:t>
      </w:r>
      <w:proofErr w:type="spellEnd"/>
      <w:r w:rsidRPr="0002459F">
        <w:rPr>
          <w:color w:val="000000"/>
          <w:sz w:val="22"/>
          <w:lang w:val="en-US"/>
        </w:rPr>
        <w:t xml:space="preserve"> Health 13(2): 256–264. </w:t>
      </w:r>
    </w:p>
    <w:sectPr w:rsidR="002F7C1A" w:rsidSect="000402DA"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F3" w:rsidRDefault="009D7F9D" w:rsidP="00FA36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2F3" w:rsidRDefault="009D7F9D" w:rsidP="00D92D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F3" w:rsidRDefault="009D7F9D" w:rsidP="00FA36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59F">
      <w:rPr>
        <w:rStyle w:val="PageNumber"/>
        <w:noProof/>
      </w:rPr>
      <w:t>1</w:t>
    </w:r>
    <w:r>
      <w:rPr>
        <w:rStyle w:val="PageNumber"/>
      </w:rPr>
      <w:fldChar w:fldCharType="end"/>
    </w:r>
  </w:p>
  <w:p w:rsidR="003E62F3" w:rsidRDefault="009D7F9D" w:rsidP="00D92D19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C4C"/>
    <w:multiLevelType w:val="hybridMultilevel"/>
    <w:tmpl w:val="691AAC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C3E94"/>
    <w:multiLevelType w:val="hybridMultilevel"/>
    <w:tmpl w:val="DDE6684E"/>
    <w:lvl w:ilvl="0" w:tplc="E12294C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7D82899"/>
    <w:multiLevelType w:val="hybridMultilevel"/>
    <w:tmpl w:val="3314E314"/>
    <w:lvl w:ilvl="0" w:tplc="E12294C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459F"/>
    <w:rsid w:val="000028F1"/>
    <w:rsid w:val="00010242"/>
    <w:rsid w:val="0002459F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D7F9D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9F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02459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rsid w:val="000245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459F"/>
    <w:rPr>
      <w:rFonts w:ascii="Arial" w:eastAsia="Calibri" w:hAnsi="Arial" w:cs="Arial"/>
      <w:sz w:val="24"/>
      <w:lang w:val="es-CO"/>
    </w:rPr>
  </w:style>
  <w:style w:type="character" w:styleId="PageNumber">
    <w:name w:val="page number"/>
    <w:basedOn w:val="DefaultParagraphFont"/>
    <w:rsid w:val="0002459F"/>
  </w:style>
  <w:style w:type="paragraph" w:styleId="BalloonText">
    <w:name w:val="Balloon Text"/>
    <w:basedOn w:val="Normal"/>
    <w:link w:val="BalloonTextChar"/>
    <w:uiPriority w:val="99"/>
    <w:semiHidden/>
    <w:unhideWhenUsed/>
    <w:rsid w:val="00024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9F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rotX val="25"/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4025974025974023E-2"/>
          <c:y val="5.7851239669421503E-2"/>
          <c:w val="0.91298701298701301"/>
          <c:h val="0.7314049586776861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Sheet1!$B$1:$Q$1</c:f>
              <c:numCache>
                <c:formatCode>General</c:formatCode>
                <c:ptCount val="16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</c:numCache>
            </c:numRef>
          </c:cat>
          <c:val>
            <c:numRef>
              <c:f>Sheet1!$B$2:$Q$2</c:f>
              <c:numCache>
                <c:formatCode>General</c:formatCode>
                <c:ptCount val="16"/>
                <c:pt idx="0">
                  <c:v>99</c:v>
                </c:pt>
                <c:pt idx="1">
                  <c:v>144</c:v>
                </c:pt>
                <c:pt idx="2">
                  <c:v>145</c:v>
                </c:pt>
                <c:pt idx="3">
                  <c:v>136</c:v>
                </c:pt>
                <c:pt idx="4">
                  <c:v>112</c:v>
                </c:pt>
                <c:pt idx="5">
                  <c:v>141</c:v>
                </c:pt>
                <c:pt idx="6">
                  <c:v>185</c:v>
                </c:pt>
                <c:pt idx="7">
                  <c:v>159</c:v>
                </c:pt>
                <c:pt idx="8">
                  <c:v>174</c:v>
                </c:pt>
                <c:pt idx="9">
                  <c:v>128</c:v>
                </c:pt>
                <c:pt idx="10">
                  <c:v>175</c:v>
                </c:pt>
                <c:pt idx="11">
                  <c:v>152</c:v>
                </c:pt>
                <c:pt idx="12">
                  <c:v>113</c:v>
                </c:pt>
                <c:pt idx="13">
                  <c:v>104</c:v>
                </c:pt>
                <c:pt idx="14">
                  <c:v>72</c:v>
                </c:pt>
                <c:pt idx="15">
                  <c:v>72</c:v>
                </c:pt>
              </c:numCache>
            </c:numRef>
          </c:val>
        </c:ser>
        <c:gapDepth val="0"/>
        <c:shape val="box"/>
        <c:axId val="65410176"/>
        <c:axId val="65411712"/>
        <c:axId val="0"/>
      </c:bar3DChart>
      <c:catAx>
        <c:axId val="654101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5411712"/>
        <c:crosses val="autoZero"/>
        <c:auto val="1"/>
        <c:lblAlgn val="ctr"/>
        <c:lblOffset val="100"/>
        <c:tickLblSkip val="1"/>
        <c:tickMarkSkip val="1"/>
      </c:catAx>
      <c:valAx>
        <c:axId val="654117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54101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0281690140845074E-2"/>
          <c:y val="4.8275862068965475E-2"/>
          <c:w val="0.90563380281690142"/>
          <c:h val="0.7758620689655172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8">
              <a:solidFill>
                <a:srgbClr val="000000"/>
              </a:solidFill>
              <a:prstDash val="solid"/>
            </a:ln>
          </c:spPr>
          <c:cat>
            <c:numRef>
              <c:f>Sheet1!$B$1:$Q$1</c:f>
              <c:numCache>
                <c:formatCode>General</c:formatCode>
                <c:ptCount val="16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</c:numCache>
            </c:numRef>
          </c:cat>
          <c:val>
            <c:numRef>
              <c:f>Sheet1!$B$2:$Q$2</c:f>
              <c:numCache>
                <c:formatCode>General</c:formatCode>
                <c:ptCount val="16"/>
                <c:pt idx="0">
                  <c:v>20</c:v>
                </c:pt>
                <c:pt idx="1">
                  <c:v>27</c:v>
                </c:pt>
                <c:pt idx="2">
                  <c:v>33</c:v>
                </c:pt>
                <c:pt idx="3">
                  <c:v>23</c:v>
                </c:pt>
                <c:pt idx="4">
                  <c:v>21</c:v>
                </c:pt>
                <c:pt idx="5">
                  <c:v>14</c:v>
                </c:pt>
                <c:pt idx="6">
                  <c:v>28</c:v>
                </c:pt>
                <c:pt idx="7">
                  <c:v>40</c:v>
                </c:pt>
                <c:pt idx="8">
                  <c:v>44</c:v>
                </c:pt>
                <c:pt idx="9">
                  <c:v>45</c:v>
                </c:pt>
                <c:pt idx="10">
                  <c:v>69</c:v>
                </c:pt>
                <c:pt idx="11">
                  <c:v>73</c:v>
                </c:pt>
                <c:pt idx="12">
                  <c:v>36</c:v>
                </c:pt>
                <c:pt idx="13">
                  <c:v>22</c:v>
                </c:pt>
                <c:pt idx="14">
                  <c:v>23</c:v>
                </c:pt>
                <c:pt idx="15">
                  <c:v>22</c:v>
                </c:pt>
              </c:numCache>
            </c:numRef>
          </c:val>
        </c:ser>
        <c:gapDepth val="0"/>
        <c:shape val="box"/>
        <c:axId val="147785984"/>
        <c:axId val="211272064"/>
        <c:axId val="0"/>
      </c:bar3DChart>
      <c:catAx>
        <c:axId val="147785984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1272064"/>
        <c:crosses val="autoZero"/>
        <c:auto val="1"/>
        <c:lblAlgn val="ctr"/>
        <c:lblOffset val="100"/>
        <c:tickLblSkip val="1"/>
        <c:tickMarkSkip val="1"/>
      </c:catAx>
      <c:valAx>
        <c:axId val="211272064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77859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2012-04-01T21:27:00Z</dcterms:created>
  <dcterms:modified xsi:type="dcterms:W3CDTF">2012-04-01T21:42:00Z</dcterms:modified>
</cp:coreProperties>
</file>