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AF" w:rsidRDefault="00117FAF" w:rsidP="00117FAF">
      <w:pPr>
        <w:ind w:left="0" w:firstLine="0"/>
        <w:rPr>
          <w:b/>
          <w:sz w:val="22"/>
          <w:u w:val="single"/>
        </w:rPr>
      </w:pPr>
      <w:r w:rsidRPr="002C75B8">
        <w:rPr>
          <w:b/>
          <w:sz w:val="22"/>
          <w:u w:val="single"/>
        </w:rPr>
        <w:t>ISRAEL</w:t>
      </w:r>
    </w:p>
    <w:p w:rsidR="00117FAF" w:rsidRPr="002C75B8" w:rsidRDefault="00117FAF" w:rsidP="00117FAF">
      <w:pPr>
        <w:ind w:left="0" w:firstLine="0"/>
        <w:rPr>
          <w:b/>
          <w:sz w:val="22"/>
          <w:u w:val="single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971800" cy="19913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7,624,600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2</w:t>
      </w:r>
      <w:r>
        <w:rPr>
          <w:sz w:val="22"/>
          <w:lang w:val="en-US"/>
        </w:rPr>
        <w:t>7</w:t>
      </w:r>
      <w:r w:rsidRPr="002C75B8">
        <w:rPr>
          <w:sz w:val="22"/>
          <w:lang w:val="en-US"/>
        </w:rPr>
        <w:t xml:space="preserve">%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8%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USD </w:t>
      </w:r>
      <w:r>
        <w:rPr>
          <w:sz w:val="22"/>
          <w:lang w:val="en-US"/>
        </w:rPr>
        <w:t>a</w:t>
      </w:r>
      <w:r w:rsidRPr="002C75B8">
        <w:rPr>
          <w:sz w:val="22"/>
          <w:lang w:val="en-US"/>
        </w:rPr>
        <w:t xml:space="preserve"> day: no data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no data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High income economy: OECD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Very high human development (ranking </w:t>
      </w:r>
      <w:r>
        <w:rPr>
          <w:sz w:val="22"/>
          <w:lang w:val="en-US"/>
        </w:rPr>
        <w:t>1</w:t>
      </w:r>
      <w:r w:rsidRPr="002C75B8">
        <w:rPr>
          <w:sz w:val="22"/>
          <w:lang w:val="en-US"/>
        </w:rPr>
        <w:t>7)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 1</w:t>
      </w:r>
      <w:r>
        <w:rPr>
          <w:sz w:val="22"/>
          <w:lang w:val="en-US"/>
        </w:rPr>
        <w:t>,960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8</w:t>
      </w:r>
      <w:r>
        <w:rPr>
          <w:sz w:val="22"/>
          <w:lang w:val="en-US"/>
        </w:rPr>
        <w:t>2</w:t>
      </w:r>
      <w:r w:rsidRPr="002C75B8">
        <w:rPr>
          <w:sz w:val="22"/>
          <w:lang w:val="en-US"/>
        </w:rPr>
        <w:t xml:space="preserve">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71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color w:val="000000"/>
          <w:sz w:val="22"/>
          <w:lang w:val="en-US"/>
        </w:rPr>
      </w:pPr>
      <w:r w:rsidRPr="002C75B8">
        <w:rPr>
          <w:sz w:val="22"/>
          <w:lang w:val="en-US"/>
        </w:rPr>
        <w:t xml:space="preserve">VL and CL are both endemic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Israel</w:t>
          </w:r>
        </w:smartTag>
      </w:smartTag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>ince 1995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both VL and CL have spread to new areas. Only sporadic cases of </w:t>
      </w:r>
      <w:r>
        <w:rPr>
          <w:sz w:val="22"/>
          <w:lang w:val="en-US"/>
        </w:rPr>
        <w:t xml:space="preserve">human </w:t>
      </w:r>
      <w:r w:rsidRPr="002C75B8">
        <w:rPr>
          <w:sz w:val="22"/>
          <w:lang w:val="en-US"/>
        </w:rPr>
        <w:t xml:space="preserve">VL used to </w:t>
      </w:r>
      <w:r w:rsidRPr="002C75B8">
        <w:rPr>
          <w:color w:val="000000"/>
          <w:sz w:val="22"/>
          <w:lang w:val="en-US"/>
        </w:rPr>
        <w:t xml:space="preserve">occur, but in a survey </w:t>
      </w:r>
      <w:r>
        <w:rPr>
          <w:color w:val="000000"/>
          <w:sz w:val="22"/>
          <w:lang w:val="en-US"/>
        </w:rPr>
        <w:t xml:space="preserve">of 1995, </w:t>
      </w:r>
      <w:r w:rsidRPr="002C75B8">
        <w:rPr>
          <w:color w:val="000000"/>
          <w:sz w:val="22"/>
          <w:lang w:val="en-US"/>
        </w:rPr>
        <w:t>up to 11</w:t>
      </w:r>
      <w:r>
        <w:rPr>
          <w:color w:val="000000"/>
          <w:sz w:val="22"/>
          <w:lang w:val="en-US"/>
        </w:rPr>
        <w:t>.</w:t>
      </w:r>
      <w:r w:rsidRPr="002C75B8">
        <w:rPr>
          <w:color w:val="000000"/>
          <w:sz w:val="22"/>
          <w:lang w:val="en-US"/>
        </w:rPr>
        <w:t xml:space="preserve">5% of dogs were infected with </w:t>
      </w:r>
      <w:r w:rsidRPr="002C75B8">
        <w:rPr>
          <w:i/>
          <w:color w:val="000000"/>
          <w:sz w:val="22"/>
          <w:lang w:val="en-US"/>
        </w:rPr>
        <w:t>L. infantum</w:t>
      </w:r>
      <w:r w:rsidRPr="002C75B8">
        <w:rPr>
          <w:color w:val="000000"/>
          <w:sz w:val="22"/>
          <w:lang w:val="en-US"/>
        </w:rPr>
        <w:t xml:space="preserve"> in villages between </w:t>
      </w:r>
      <w:smartTag w:uri="urn:schemas-microsoft-com:office:smarttags" w:element="City">
        <w:smartTag w:uri="urn:schemas-microsoft-com:office:smarttags" w:element="place">
          <w:r w:rsidRPr="002C75B8">
            <w:rPr>
              <w:color w:val="000000"/>
              <w:sz w:val="22"/>
              <w:lang w:val="en-US"/>
            </w:rPr>
            <w:t>Jerusalem</w:t>
          </w:r>
        </w:smartTag>
      </w:smartTag>
      <w:r w:rsidRPr="002C75B8">
        <w:rPr>
          <w:color w:val="000000"/>
          <w:sz w:val="22"/>
          <w:lang w:val="en-US"/>
        </w:rPr>
        <w:t xml:space="preserve"> and Tel Aviv, suggesting a new endemic focus of VL </w:t>
      </w:r>
      <w:r>
        <w:rPr>
          <w:color w:val="000000"/>
          <w:sz w:val="22"/>
          <w:lang w:val="en-US"/>
        </w:rPr>
        <w:t>[1]</w:t>
      </w:r>
      <w:r w:rsidRPr="002C75B8">
        <w:rPr>
          <w:color w:val="000000"/>
          <w:sz w:val="22"/>
          <w:lang w:val="en-US"/>
        </w:rPr>
        <w:t>.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The presence of CL was first documented at the beginning of the 20th century. CL by </w:t>
      </w:r>
      <w:r w:rsidRPr="002C75B8">
        <w:rPr>
          <w:i/>
          <w:sz w:val="22"/>
          <w:lang w:val="en-US"/>
        </w:rPr>
        <w:t>L</w:t>
      </w:r>
      <w:r>
        <w:rPr>
          <w:i/>
          <w:sz w:val="22"/>
          <w:lang w:val="en-US"/>
        </w:rPr>
        <w:t>.</w:t>
      </w:r>
      <w:r w:rsidRPr="002C75B8">
        <w:rPr>
          <w:i/>
          <w:sz w:val="22"/>
          <w:lang w:val="en-US"/>
        </w:rPr>
        <w:t xml:space="preserve"> major</w:t>
      </w:r>
      <w:r w:rsidRPr="002C75B8">
        <w:rPr>
          <w:sz w:val="22"/>
          <w:lang w:val="en-US"/>
        </w:rPr>
        <w:t xml:space="preserve"> is </w:t>
      </w:r>
      <w:proofErr w:type="spellStart"/>
      <w:r w:rsidRPr="002C75B8">
        <w:rPr>
          <w:sz w:val="22"/>
          <w:lang w:val="en-US"/>
        </w:rPr>
        <w:t>hyperendemic</w:t>
      </w:r>
      <w:proofErr w:type="spellEnd"/>
      <w:r w:rsidRPr="002C75B8">
        <w:rPr>
          <w:sz w:val="22"/>
          <w:lang w:val="en-US"/>
        </w:rPr>
        <w:t xml:space="preserve"> in the </w:t>
      </w:r>
      <w:smartTag w:uri="urn:schemas-microsoft-com:office:smarttags" w:element="country-region">
        <w:r w:rsidRPr="002C75B8">
          <w:rPr>
            <w:sz w:val="22"/>
            <w:lang w:val="en-US"/>
          </w:rPr>
          <w:t>Jordan</w:t>
        </w:r>
      </w:smartTag>
      <w:r w:rsidRPr="002C75B8">
        <w:rPr>
          <w:sz w:val="22"/>
          <w:lang w:val="en-US"/>
        </w:rPr>
        <w:t xml:space="preserve"> valley (especially in the lower and middle valley) and occurs mainly in the southern regions of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Israel</w:t>
          </w:r>
        </w:smartTag>
      </w:smartTag>
      <w:r w:rsidRPr="002C75B8">
        <w:rPr>
          <w:sz w:val="22"/>
          <w:lang w:val="en-US"/>
        </w:rPr>
        <w:t xml:space="preserve">. There are small zoonotic foci in the </w:t>
      </w:r>
      <w:smartTag w:uri="urn:schemas-microsoft-com:office:smarttags" w:element="place">
        <w:r w:rsidRPr="002C75B8">
          <w:rPr>
            <w:sz w:val="22"/>
            <w:lang w:val="en-US"/>
          </w:rPr>
          <w:t>Negev</w:t>
        </w:r>
      </w:smartTag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Arava</w:t>
      </w:r>
      <w:proofErr w:type="spellEnd"/>
      <w:r>
        <w:rPr>
          <w:sz w:val="22"/>
          <w:lang w:val="en-US"/>
        </w:rPr>
        <w:t xml:space="preserve"> valleys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[2]</w:t>
      </w:r>
      <w:r w:rsidRPr="002C75B8">
        <w:rPr>
          <w:color w:val="000000"/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Between 1983 and 1987, there was a gradual decrease in the incidence of CL as a result of the drought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which reduced the zoonotic foci and the</w:t>
      </w:r>
      <w:r w:rsidRPr="002C75B8">
        <w:rPr>
          <w:i/>
          <w:iCs/>
          <w:sz w:val="22"/>
          <w:lang w:val="en-US"/>
        </w:rPr>
        <w:t xml:space="preserve"> </w:t>
      </w:r>
      <w:proofErr w:type="spellStart"/>
      <w:r w:rsidRPr="002C75B8">
        <w:rPr>
          <w:i/>
          <w:iCs/>
          <w:sz w:val="22"/>
          <w:lang w:val="en-US"/>
        </w:rPr>
        <w:t>Psammomys</w:t>
      </w:r>
      <w:proofErr w:type="spellEnd"/>
      <w:r w:rsidRPr="002C75B8">
        <w:rPr>
          <w:sz w:val="22"/>
          <w:lang w:val="en-US"/>
        </w:rPr>
        <w:t xml:space="preserve"> population</w:t>
      </w:r>
      <w:r>
        <w:rPr>
          <w:sz w:val="22"/>
          <w:lang w:val="en-US"/>
        </w:rPr>
        <w:t xml:space="preserve"> [2]</w:t>
      </w:r>
      <w:r w:rsidRPr="002C75B8">
        <w:rPr>
          <w:color w:val="000000"/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Since 2003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number of cases has increased again and 4 outbreaks </w:t>
      </w:r>
      <w:r>
        <w:rPr>
          <w:sz w:val="22"/>
          <w:lang w:val="en-US"/>
        </w:rPr>
        <w:t xml:space="preserve">have </w:t>
      </w:r>
      <w:r w:rsidRPr="002C75B8">
        <w:rPr>
          <w:sz w:val="22"/>
          <w:lang w:val="en-US"/>
        </w:rPr>
        <w:t>occurred in the last 5 years. In 2005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 incidence in soldiers was 200/100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</w:t>
      </w:r>
      <w:r>
        <w:rPr>
          <w:sz w:val="22"/>
          <w:lang w:val="en-US"/>
        </w:rPr>
        <w:t>;</w:t>
      </w:r>
      <w:r w:rsidRPr="002C75B8">
        <w:rPr>
          <w:sz w:val="22"/>
          <w:lang w:val="en-US"/>
        </w:rPr>
        <w:t xml:space="preserve"> the </w:t>
      </w:r>
      <w:r>
        <w:rPr>
          <w:sz w:val="22"/>
          <w:lang w:val="en-US"/>
        </w:rPr>
        <w:t xml:space="preserve">highest </w:t>
      </w:r>
      <w:r w:rsidRPr="002C75B8">
        <w:rPr>
          <w:sz w:val="22"/>
          <w:lang w:val="en-US"/>
        </w:rPr>
        <w:t xml:space="preserve">incidence now is </w:t>
      </w:r>
      <w:r>
        <w:rPr>
          <w:sz w:val="22"/>
          <w:lang w:val="en-US"/>
        </w:rPr>
        <w:t>among</w:t>
      </w:r>
      <w:r w:rsidRPr="002C75B8">
        <w:rPr>
          <w:sz w:val="22"/>
          <w:lang w:val="en-US"/>
        </w:rPr>
        <w:t xml:space="preserve"> soldiers.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117FAF" w:rsidRPr="00906133" w:rsidRDefault="00117FAF" w:rsidP="00117FAF">
      <w:pPr>
        <w:ind w:left="0" w:firstLine="0"/>
        <w:rPr>
          <w:lang w:val="en-US"/>
        </w:rPr>
      </w:pPr>
      <w:r w:rsidRPr="002C75B8">
        <w:rPr>
          <w:sz w:val="22"/>
          <w:lang w:val="en-US"/>
        </w:rPr>
        <w:t xml:space="preserve">CL by </w:t>
      </w:r>
      <w:r w:rsidRPr="002C75B8">
        <w:rPr>
          <w:i/>
          <w:iCs/>
          <w:sz w:val="22"/>
          <w:lang w:val="en-US"/>
        </w:rPr>
        <w:t>L</w:t>
      </w:r>
      <w:r>
        <w:rPr>
          <w:i/>
          <w:iCs/>
          <w:sz w:val="22"/>
          <w:lang w:val="en-US"/>
        </w:rPr>
        <w:t>.</w:t>
      </w:r>
      <w:r w:rsidRPr="002C75B8">
        <w:rPr>
          <w:i/>
          <w:iCs/>
          <w:sz w:val="22"/>
          <w:lang w:val="en-US"/>
        </w:rPr>
        <w:t xml:space="preserve"> tropica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used to be</w:t>
      </w:r>
      <w:r w:rsidRPr="002C75B8">
        <w:rPr>
          <w:sz w:val="22"/>
          <w:lang w:val="en-US"/>
        </w:rPr>
        <w:t xml:space="preserve"> uncommon, but has recently emerged in urban and rural foci of central and northern Israel and forms a potential public health concern</w:t>
      </w:r>
      <w:r>
        <w:rPr>
          <w:sz w:val="22"/>
          <w:lang w:val="en-US"/>
        </w:rPr>
        <w:t xml:space="preserve"> [3]. I</w:t>
      </w:r>
      <w:r w:rsidRPr="002C75B8">
        <w:rPr>
          <w:sz w:val="22"/>
          <w:lang w:val="en-US"/>
        </w:rPr>
        <w:t xml:space="preserve">n the past five years, outbreaks of CL due to </w:t>
      </w:r>
      <w:r w:rsidRPr="002C75B8">
        <w:rPr>
          <w:i/>
          <w:iCs/>
          <w:sz w:val="22"/>
          <w:lang w:val="en-US"/>
        </w:rPr>
        <w:t>L. tropica</w:t>
      </w:r>
      <w:r w:rsidRPr="002C75B8">
        <w:rPr>
          <w:sz w:val="22"/>
          <w:lang w:val="en-US"/>
        </w:rPr>
        <w:t xml:space="preserve"> have occurred in </w:t>
      </w:r>
      <w:proofErr w:type="spellStart"/>
      <w:r w:rsidRPr="002C75B8">
        <w:rPr>
          <w:sz w:val="22"/>
          <w:lang w:val="en-US"/>
        </w:rPr>
        <w:t>Tiberias</w:t>
      </w:r>
      <w:proofErr w:type="spellEnd"/>
      <w:r w:rsidRPr="002C75B8">
        <w:rPr>
          <w:sz w:val="22"/>
          <w:lang w:val="en-US"/>
        </w:rPr>
        <w:t xml:space="preserve">, </w:t>
      </w:r>
      <w:proofErr w:type="spellStart"/>
      <w:r w:rsidRPr="002C75B8">
        <w:rPr>
          <w:sz w:val="22"/>
          <w:lang w:val="en-US"/>
        </w:rPr>
        <w:t>Ma’ale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Adumim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Pduel</w:t>
      </w:r>
      <w:proofErr w:type="spellEnd"/>
      <w:r w:rsidRPr="002C75B8">
        <w:rPr>
          <w:sz w:val="22"/>
          <w:lang w:val="en-US"/>
        </w:rPr>
        <w:t xml:space="preserve">; outbreaks due to </w:t>
      </w:r>
      <w:r w:rsidRPr="002C75B8">
        <w:rPr>
          <w:i/>
          <w:sz w:val="22"/>
          <w:lang w:val="en-US"/>
        </w:rPr>
        <w:t>L. major</w:t>
      </w:r>
      <w:r w:rsidRPr="002C75B8">
        <w:rPr>
          <w:sz w:val="22"/>
          <w:lang w:val="en-US"/>
        </w:rPr>
        <w:t xml:space="preserve"> have occurred in </w:t>
      </w:r>
      <w:proofErr w:type="spellStart"/>
      <w:r w:rsidRPr="002C75B8">
        <w:rPr>
          <w:sz w:val="22"/>
          <w:lang w:val="en-US"/>
        </w:rPr>
        <w:t>Nizzana</w:t>
      </w:r>
      <w:proofErr w:type="spellEnd"/>
      <w:r w:rsidRPr="002C75B8">
        <w:rPr>
          <w:sz w:val="22"/>
          <w:lang w:val="en-US"/>
        </w:rPr>
        <w:t xml:space="preserve"> and </w:t>
      </w:r>
      <w:proofErr w:type="spellStart"/>
      <w:r w:rsidRPr="002C75B8">
        <w:rPr>
          <w:sz w:val="22"/>
          <w:lang w:val="en-US"/>
        </w:rPr>
        <w:t>Beit</w:t>
      </w:r>
      <w:proofErr w:type="spellEnd"/>
      <w:r w:rsidRPr="002C75B8">
        <w:rPr>
          <w:sz w:val="22"/>
          <w:lang w:val="en-US"/>
        </w:rPr>
        <w:t xml:space="preserve"> </w:t>
      </w:r>
      <w:proofErr w:type="spellStart"/>
      <w:r w:rsidRPr="002C75B8">
        <w:rPr>
          <w:sz w:val="22"/>
          <w:lang w:val="en-US"/>
        </w:rPr>
        <w:t>Se’an</w:t>
      </w:r>
      <w:proofErr w:type="spellEnd"/>
      <w:r w:rsidRPr="002C75B8">
        <w:rPr>
          <w:sz w:val="22"/>
          <w:lang w:val="en-US"/>
        </w:rPr>
        <w:t>.</w:t>
      </w:r>
      <w:r>
        <w:rPr>
          <w:lang w:val="en-US"/>
        </w:rPr>
        <w:t xml:space="preserve"> </w:t>
      </w:r>
      <w:r w:rsidRPr="00906133">
        <w:rPr>
          <w:lang w:val="en-US"/>
        </w:rPr>
        <w:t xml:space="preserve"> </w:t>
      </w:r>
    </w:p>
    <w:p w:rsidR="00117FAF" w:rsidRDefault="00117FAF" w:rsidP="00117FAF">
      <w:pPr>
        <w:ind w:left="0" w:firstLine="0"/>
        <w:rPr>
          <w:sz w:val="22"/>
          <w:lang w:val="en-US"/>
        </w:rPr>
      </w:pPr>
    </w:p>
    <w:p w:rsidR="00117FAF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lastRenderedPageBreak/>
        <w:t>21% of VL cases are coinfected with HIV (6/28 cases from 1990-2008), but the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were all imported.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Both CL and VL are thought to be underreported. </w:t>
      </w:r>
    </w:p>
    <w:p w:rsidR="00117FAF" w:rsidRDefault="00117FAF" w:rsidP="00117FAF">
      <w:pPr>
        <w:ind w:left="0" w:firstLine="0"/>
        <w:rPr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PARASITOLOGICAL INFORMATION</w:t>
      </w:r>
    </w:p>
    <w:p w:rsidR="00117FAF" w:rsidRPr="002C75B8" w:rsidRDefault="00117FAF" w:rsidP="00117FAF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260"/>
        <w:gridCol w:w="2880"/>
        <w:gridCol w:w="3366"/>
      </w:tblGrid>
      <w:tr w:rsidR="00117FAF" w:rsidRPr="002C75B8" w:rsidTr="00A7768B">
        <w:tc>
          <w:tcPr>
            <w:tcW w:w="1548" w:type="dxa"/>
            <w:vAlign w:val="center"/>
          </w:tcPr>
          <w:p w:rsidR="00117FAF" w:rsidRPr="002C75B8" w:rsidRDefault="00117FA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260" w:type="dxa"/>
            <w:vAlign w:val="center"/>
          </w:tcPr>
          <w:p w:rsidR="00117FAF" w:rsidRPr="002C75B8" w:rsidRDefault="00117FA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80" w:type="dxa"/>
            <w:vAlign w:val="center"/>
          </w:tcPr>
          <w:p w:rsidR="00117FAF" w:rsidRPr="002C75B8" w:rsidRDefault="00117FA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17FAF" w:rsidRPr="002C75B8" w:rsidRDefault="00117FA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3366" w:type="dxa"/>
            <w:vAlign w:val="center"/>
          </w:tcPr>
          <w:p w:rsidR="00117FAF" w:rsidRPr="002C75B8" w:rsidRDefault="00117FAF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117FAF" w:rsidRPr="002C75B8" w:rsidRDefault="00117FAF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117FAF" w:rsidRPr="002C75B8" w:rsidTr="00A7768B">
        <w:tc>
          <w:tcPr>
            <w:tcW w:w="1548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26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88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3366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Ps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ammomys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obesus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M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eriones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crassus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Microtus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sociaocaviais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Nosema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fr-FR"/>
              </w:rPr>
              <w:t>indica</w:t>
            </w:r>
            <w:proofErr w:type="spellEnd"/>
          </w:p>
        </w:tc>
      </w:tr>
      <w:tr w:rsidR="00117FAF" w:rsidRPr="002C75B8" w:rsidTr="00A7768B">
        <w:tc>
          <w:tcPr>
            <w:tcW w:w="1548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tropica</w:t>
            </w:r>
          </w:p>
        </w:tc>
        <w:tc>
          <w:tcPr>
            <w:tcW w:w="126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288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sergenti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arabicus</w:t>
            </w:r>
            <w:proofErr w:type="spellEnd"/>
          </w:p>
        </w:tc>
        <w:tc>
          <w:tcPr>
            <w:tcW w:w="3366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Human</w:t>
            </w: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Pr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ocavia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capensis</w:t>
            </w:r>
            <w:proofErr w:type="spellEnd"/>
          </w:p>
        </w:tc>
      </w:tr>
      <w:tr w:rsidR="00117FAF" w:rsidRPr="002C75B8" w:rsidTr="00A7768B">
        <w:tc>
          <w:tcPr>
            <w:tcW w:w="1548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26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2880" w:type="dxa"/>
            <w:vAlign w:val="center"/>
          </w:tcPr>
          <w:p w:rsidR="00117FAF" w:rsidRPr="00647BAC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syriacus</w:t>
            </w:r>
            <w:proofErr w:type="spellEnd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perfiliewi</w:t>
            </w:r>
            <w:proofErr w:type="spellEnd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P. </w:t>
            </w:r>
            <w:proofErr w:type="spellStart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tobbi</w:t>
            </w:r>
            <w:proofErr w:type="spellEnd"/>
          </w:p>
        </w:tc>
        <w:tc>
          <w:tcPr>
            <w:tcW w:w="3366" w:type="dxa"/>
            <w:vAlign w:val="center"/>
          </w:tcPr>
          <w:p w:rsidR="00117FAF" w:rsidRPr="00647BAC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47BAC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117FAF" w:rsidRPr="002C75B8" w:rsidTr="00A7768B">
        <w:tc>
          <w:tcPr>
            <w:tcW w:w="1548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</w:p>
        </w:tc>
        <w:tc>
          <w:tcPr>
            <w:tcW w:w="126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2880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3366" w:type="dxa"/>
            <w:vAlign w:val="center"/>
          </w:tcPr>
          <w:p w:rsidR="00117FAF" w:rsidRPr="002C75B8" w:rsidRDefault="00117FAF" w:rsidP="00A7768B">
            <w:pPr>
              <w:pStyle w:val="NormalWeb"/>
              <w:spacing w:before="0" w:beforeAutospacing="0" w:after="0" w:afterAutospacing="0" w:line="31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Cutaneous</w:t>
      </w:r>
      <w:r w:rsidRPr="002C75B8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l</w:t>
      </w:r>
      <w:r w:rsidRPr="002C75B8">
        <w:rPr>
          <w:b/>
          <w:sz w:val="22"/>
          <w:lang w:val="en-US"/>
        </w:rPr>
        <w:t xml:space="preserve">eishmaniasis  </w:t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132715</wp:posOffset>
            </wp:positionV>
            <wp:extent cx="2466340" cy="3486785"/>
            <wp:effectExtent l="19050" t="0" r="0" b="0"/>
            <wp:wrapNone/>
            <wp:docPr id="4" name="Picture 4" descr="IL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C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5B8">
        <w:rPr>
          <w:b/>
          <w:sz w:val="22"/>
          <w:lang w:val="en-US"/>
        </w:rPr>
        <w:t xml:space="preserve"> </w:t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43180</wp:posOffset>
            </wp:positionV>
            <wp:extent cx="2424430" cy="3429000"/>
            <wp:effectExtent l="19050" t="0" r="0" b="0"/>
            <wp:wrapNone/>
            <wp:docPr id="5" name="Picture 5" descr="IL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C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     </w:t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lastRenderedPageBreak/>
        <w:t xml:space="preserve">Number of cases of visceral leishmaniasis </w:t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95"/>
      </w:tblGrid>
      <w:tr w:rsidR="00117FAF" w:rsidRPr="005C6413" w:rsidTr="00A7768B"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1995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1996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1997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1998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1999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2000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2001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2003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2004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2005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2006</w:t>
            </w:r>
          </w:p>
        </w:tc>
        <w:tc>
          <w:tcPr>
            <w:tcW w:w="695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C6413">
              <w:rPr>
                <w:bCs/>
                <w:sz w:val="20"/>
                <w:szCs w:val="20"/>
                <w:lang w:val="en-US"/>
              </w:rPr>
              <w:t>2007</w:t>
            </w:r>
          </w:p>
        </w:tc>
      </w:tr>
      <w:tr w:rsidR="00117FAF" w:rsidRPr="005C6413" w:rsidTr="00A7768B"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661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695" w:type="dxa"/>
          </w:tcPr>
          <w:p w:rsidR="00117FAF" w:rsidRPr="005C6413" w:rsidRDefault="00117FAF" w:rsidP="00A7768B">
            <w:pPr>
              <w:ind w:left="0" w:firstLine="0"/>
              <w:jc w:val="center"/>
              <w:rPr>
                <w:bCs/>
                <w:sz w:val="22"/>
                <w:lang w:val="en-US"/>
              </w:rPr>
            </w:pPr>
            <w:r w:rsidRPr="005C6413">
              <w:rPr>
                <w:bCs/>
                <w:sz w:val="22"/>
                <w:lang w:val="en-US"/>
              </w:rPr>
              <w:t>0</w:t>
            </w:r>
          </w:p>
        </w:tc>
      </w:tr>
    </w:tbl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Cutaneous leishmaniasis trend</w:t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21590</wp:posOffset>
            </wp:positionV>
            <wp:extent cx="6745605" cy="285496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Pr="002C75B8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117FAF" w:rsidRPr="002C75B8" w:rsidRDefault="00117FAF" w:rsidP="00117FAF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117FAF" w:rsidRPr="002C75B8" w:rsidRDefault="00117FAF" w:rsidP="00117FAF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mandatory in the country and a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</w:t>
      </w:r>
      <w:r>
        <w:rPr>
          <w:rFonts w:eastAsia="Times New Roman"/>
          <w:sz w:val="22"/>
          <w:lang w:val="en-US" w:eastAsia="es-ES"/>
        </w:rPr>
        <w:t xml:space="preserve"> has been in place</w:t>
      </w:r>
      <w:r w:rsidRPr="002C75B8">
        <w:rPr>
          <w:rFonts w:eastAsia="Times New Roman"/>
          <w:sz w:val="22"/>
          <w:lang w:val="en-US" w:eastAsia="es-ES"/>
        </w:rPr>
        <w:t xml:space="preserve"> for CL since 2005. Case detection is passive. There is a leishmaniasis vector control program for CL</w:t>
      </w:r>
      <w:r>
        <w:rPr>
          <w:rFonts w:eastAsia="Times New Roman"/>
          <w:sz w:val="22"/>
          <w:lang w:val="en-US" w:eastAsia="es-ES"/>
        </w:rPr>
        <w:t>;</w:t>
      </w:r>
      <w:r w:rsidRPr="002C75B8">
        <w:rPr>
          <w:rFonts w:eastAsia="Times New Roman"/>
          <w:sz w:val="22"/>
          <w:lang w:val="en-US" w:eastAsia="es-ES"/>
        </w:rPr>
        <w:t xml:space="preserve"> </w:t>
      </w:r>
      <w:r>
        <w:rPr>
          <w:rFonts w:eastAsia="Times New Roman"/>
          <w:sz w:val="22"/>
          <w:lang w:val="en-US" w:eastAsia="es-ES"/>
        </w:rPr>
        <w:t>i</w:t>
      </w:r>
      <w:r w:rsidRPr="002C75B8">
        <w:rPr>
          <w:rFonts w:eastAsia="Times New Roman"/>
          <w:sz w:val="22"/>
          <w:lang w:val="en-US" w:eastAsia="es-ES"/>
        </w:rPr>
        <w:t xml:space="preserve">nsecticide spraying </w:t>
      </w:r>
      <w:r>
        <w:rPr>
          <w:rFonts w:eastAsia="Times New Roman"/>
          <w:sz w:val="22"/>
          <w:lang w:val="en-US" w:eastAsia="es-ES"/>
        </w:rPr>
        <w:t>occurs</w:t>
      </w:r>
      <w:r w:rsidRPr="002C75B8">
        <w:rPr>
          <w:rFonts w:eastAsia="Times New Roman"/>
          <w:sz w:val="22"/>
          <w:lang w:val="en-US" w:eastAsia="es-ES"/>
        </w:rPr>
        <w:t xml:space="preserve"> sporadic</w:t>
      </w:r>
      <w:r>
        <w:rPr>
          <w:rFonts w:eastAsia="Times New Roman"/>
          <w:sz w:val="22"/>
          <w:lang w:val="en-US" w:eastAsia="es-ES"/>
        </w:rPr>
        <w:t>ally</w:t>
      </w:r>
      <w:r w:rsidRPr="002C75B8">
        <w:rPr>
          <w:rFonts w:eastAsia="Times New Roman"/>
          <w:sz w:val="22"/>
          <w:lang w:val="en-US" w:eastAsia="es-ES"/>
        </w:rPr>
        <w:t>. There is a leishmaniasis reservoir program for CL</w:t>
      </w:r>
      <w:r>
        <w:rPr>
          <w:rFonts w:eastAsia="Times New Roman"/>
          <w:sz w:val="22"/>
          <w:lang w:val="en-US" w:eastAsia="es-ES"/>
        </w:rPr>
        <w:t>;</w:t>
      </w:r>
      <w:r w:rsidRPr="002C75B8">
        <w:rPr>
          <w:rFonts w:eastAsia="Times New Roman"/>
          <w:sz w:val="22"/>
          <w:lang w:val="en-US" w:eastAsia="es-ES"/>
        </w:rPr>
        <w:t xml:space="preserve"> </w:t>
      </w:r>
      <w:r>
        <w:rPr>
          <w:rFonts w:eastAsia="Times New Roman"/>
          <w:sz w:val="22"/>
          <w:lang w:val="en-US" w:eastAsia="es-ES"/>
        </w:rPr>
        <w:t>p</w:t>
      </w:r>
      <w:r w:rsidRPr="002C75B8">
        <w:rPr>
          <w:rFonts w:eastAsia="Times New Roman"/>
          <w:sz w:val="22"/>
          <w:lang w:val="en-US" w:eastAsia="es-ES"/>
        </w:rPr>
        <w:t xml:space="preserve">ositive dogs are sacrificed </w:t>
      </w:r>
      <w:r>
        <w:rPr>
          <w:rFonts w:eastAsia="Times New Roman"/>
          <w:sz w:val="22"/>
          <w:lang w:val="en-US" w:eastAsia="es-ES"/>
        </w:rPr>
        <w:t>if the owner agrees</w:t>
      </w:r>
      <w:r w:rsidRPr="002C75B8">
        <w:rPr>
          <w:rFonts w:eastAsia="Times New Roman"/>
          <w:sz w:val="22"/>
          <w:lang w:val="en-US" w:eastAsia="es-ES"/>
        </w:rPr>
        <w:t>.</w:t>
      </w:r>
    </w:p>
    <w:p w:rsidR="00117FAF" w:rsidRDefault="00117FAF" w:rsidP="00117FAF">
      <w:pPr>
        <w:ind w:left="0" w:firstLine="0"/>
        <w:rPr>
          <w:rFonts w:eastAsia="Times New Roman"/>
          <w:sz w:val="22"/>
          <w:lang w:val="en-US" w:eastAsia="es-ES"/>
        </w:rPr>
      </w:pPr>
    </w:p>
    <w:p w:rsidR="00117FAF" w:rsidRPr="002C75B8" w:rsidRDefault="00117FAF" w:rsidP="00117FAF">
      <w:pPr>
        <w:ind w:left="0" w:firstLine="0"/>
        <w:rPr>
          <w:rFonts w:eastAsia="Times New Roman"/>
          <w:sz w:val="22"/>
          <w:lang w:val="en-US" w:eastAsia="es-E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117FAF" w:rsidRPr="00EF6EC8" w:rsidRDefault="00117FAF" w:rsidP="00117FAF">
      <w:pPr>
        <w:ind w:left="0" w:firstLine="0"/>
        <w:rPr>
          <w:sz w:val="22"/>
        </w:rPr>
      </w:pPr>
      <w:r w:rsidRPr="00EF6EC8">
        <w:rPr>
          <w:sz w:val="22"/>
        </w:rPr>
        <w:t xml:space="preserve">CL: </w:t>
      </w:r>
      <w:proofErr w:type="spellStart"/>
      <w:r w:rsidRPr="00EF6EC8">
        <w:rPr>
          <w:sz w:val="22"/>
        </w:rPr>
        <w:t>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clinical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grounds</w:t>
      </w:r>
      <w:proofErr w:type="spellEnd"/>
      <w:r w:rsidRPr="00EF6EC8">
        <w:rPr>
          <w:sz w:val="22"/>
        </w:rPr>
        <w:t xml:space="preserve"> in local </w:t>
      </w:r>
      <w:proofErr w:type="spellStart"/>
      <w:r w:rsidRPr="00EF6EC8">
        <w:rPr>
          <w:sz w:val="22"/>
        </w:rPr>
        <w:t>outpatient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health</w:t>
      </w:r>
      <w:proofErr w:type="spellEnd"/>
      <w:r w:rsidRPr="00EF6EC8">
        <w:rPr>
          <w:sz w:val="22"/>
        </w:rPr>
        <w:t xml:space="preserve"> centers. </w:t>
      </w:r>
      <w:proofErr w:type="spellStart"/>
      <w:r w:rsidRPr="00EF6EC8">
        <w:rPr>
          <w:sz w:val="22"/>
        </w:rPr>
        <w:t>Confirmation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by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microscopic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examination</w:t>
      </w:r>
      <w:proofErr w:type="spellEnd"/>
      <w:r w:rsidRPr="00EF6EC8">
        <w:rPr>
          <w:sz w:val="22"/>
        </w:rPr>
        <w:t xml:space="preserve"> of a </w:t>
      </w:r>
      <w:proofErr w:type="spellStart"/>
      <w:r w:rsidRPr="00EF6EC8">
        <w:rPr>
          <w:sz w:val="22"/>
        </w:rPr>
        <w:t>skin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lesion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sample</w:t>
      </w:r>
      <w:proofErr w:type="spellEnd"/>
      <w:r w:rsidRPr="00EF6EC8">
        <w:rPr>
          <w:sz w:val="22"/>
        </w:rPr>
        <w:t xml:space="preserve"> can </w:t>
      </w:r>
      <w:proofErr w:type="spellStart"/>
      <w:r w:rsidRPr="00EF6EC8">
        <w:rPr>
          <w:sz w:val="22"/>
        </w:rPr>
        <w:t>be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performed</w:t>
      </w:r>
      <w:proofErr w:type="spellEnd"/>
      <w:r w:rsidRPr="00EF6EC8">
        <w:rPr>
          <w:sz w:val="22"/>
        </w:rPr>
        <w:t xml:space="preserve"> in regional </w:t>
      </w:r>
      <w:proofErr w:type="spellStart"/>
      <w:r w:rsidRPr="00EF6EC8">
        <w:rPr>
          <w:sz w:val="22"/>
        </w:rPr>
        <w:t>hospitals</w:t>
      </w:r>
      <w:proofErr w:type="spellEnd"/>
      <w:r w:rsidRPr="00EF6EC8">
        <w:rPr>
          <w:sz w:val="22"/>
        </w:rPr>
        <w:t xml:space="preserve">. PCR </w:t>
      </w:r>
      <w:proofErr w:type="spellStart"/>
      <w:r w:rsidRPr="00EF6EC8">
        <w:rPr>
          <w:sz w:val="22"/>
        </w:rPr>
        <w:t>is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performed</w:t>
      </w:r>
      <w:proofErr w:type="spellEnd"/>
      <w:r w:rsidRPr="00EF6EC8">
        <w:rPr>
          <w:sz w:val="22"/>
        </w:rPr>
        <w:t xml:space="preserve"> in </w:t>
      </w:r>
      <w:proofErr w:type="spellStart"/>
      <w:r w:rsidRPr="00EF6EC8">
        <w:rPr>
          <w:sz w:val="22"/>
        </w:rPr>
        <w:t>one</w:t>
      </w:r>
      <w:proofErr w:type="spellEnd"/>
      <w:r w:rsidRPr="00EF6EC8">
        <w:rPr>
          <w:sz w:val="22"/>
        </w:rPr>
        <w:t xml:space="preserve"> </w:t>
      </w:r>
      <w:proofErr w:type="spellStart"/>
      <w:r w:rsidRPr="00EF6EC8">
        <w:rPr>
          <w:sz w:val="22"/>
        </w:rPr>
        <w:t>diagnostic</w:t>
      </w:r>
      <w:proofErr w:type="spellEnd"/>
      <w:r w:rsidRPr="00EF6EC8">
        <w:rPr>
          <w:sz w:val="22"/>
        </w:rPr>
        <w:t xml:space="preserve"> center in Israel. </w:t>
      </w:r>
    </w:p>
    <w:p w:rsidR="00117FAF" w:rsidRDefault="00117FAF" w:rsidP="00117FAF">
      <w:pPr>
        <w:ind w:left="0" w:firstLine="0"/>
        <w:rPr>
          <w:lang w:val="en-US"/>
        </w:rPr>
      </w:pPr>
      <w:r w:rsidRPr="00EF6EC8">
        <w:rPr>
          <w:sz w:val="22"/>
        </w:rPr>
        <w:t xml:space="preserve">VL: rK39 </w:t>
      </w:r>
      <w:proofErr w:type="spellStart"/>
      <w:r w:rsidRPr="00EF6EC8">
        <w:rPr>
          <w:sz w:val="22"/>
        </w:rPr>
        <w:t>based</w:t>
      </w:r>
      <w:proofErr w:type="spellEnd"/>
      <w:r w:rsidRPr="00EF6EC8">
        <w:rPr>
          <w:sz w:val="22"/>
          <w:lang w:val="en-US"/>
        </w:rPr>
        <w:t xml:space="preserve"> </w:t>
      </w:r>
      <w:r w:rsidRPr="002C75B8">
        <w:rPr>
          <w:lang w:val="en-US"/>
        </w:rPr>
        <w:t>ICT (in specialized hospitals) and PCR (in one diagnostic cente</w:t>
      </w:r>
      <w:r>
        <w:rPr>
          <w:lang w:val="en-US"/>
        </w:rPr>
        <w:t>r</w:t>
      </w:r>
      <w:r w:rsidRPr="002C75B8">
        <w:rPr>
          <w:lang w:val="en-US"/>
        </w:rPr>
        <w:t>)</w:t>
      </w:r>
      <w:r>
        <w:rPr>
          <w:lang w:val="en-US"/>
        </w:rPr>
        <w:t>.</w:t>
      </w:r>
    </w:p>
    <w:p w:rsidR="00117FAF" w:rsidRPr="002C75B8" w:rsidRDefault="00117FAF" w:rsidP="00117FAF">
      <w:pPr>
        <w:ind w:left="0" w:firstLine="0"/>
        <w:rPr>
          <w:bCs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117FAF" w:rsidRPr="00EF6EC8" w:rsidRDefault="00117FAF" w:rsidP="00117FAF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VL</w:t>
      </w:r>
      <w:r w:rsidRPr="00EF6EC8">
        <w:rPr>
          <w:bCs/>
          <w:sz w:val="22"/>
          <w:lang w:val="en-US"/>
        </w:rPr>
        <w:t xml:space="preserve">: antimonials, 20 mg </w:t>
      </w:r>
      <w:proofErr w:type="spellStart"/>
      <w:r w:rsidRPr="00EF6EC8">
        <w:rPr>
          <w:bCs/>
          <w:sz w:val="22"/>
          <w:lang w:val="en-US"/>
        </w:rPr>
        <w:t>Sb</w:t>
      </w:r>
      <w:r w:rsidRPr="001905E8">
        <w:rPr>
          <w:bCs/>
          <w:sz w:val="22"/>
          <w:vertAlign w:val="superscript"/>
          <w:lang w:val="en-US"/>
        </w:rPr>
        <w:t>v</w:t>
      </w:r>
      <w:proofErr w:type="spellEnd"/>
      <w:r w:rsidRPr="00EF6EC8">
        <w:rPr>
          <w:bCs/>
          <w:sz w:val="22"/>
          <w:lang w:val="en-US"/>
        </w:rPr>
        <w:t xml:space="preserve">/kg/day for 28 days. Cure rate is &gt; 95%. Second line: liposomal amphotericin B, 3 mg/kg/day for day 1-5, 10, 14 and 21. </w:t>
      </w:r>
    </w:p>
    <w:p w:rsidR="00117FAF" w:rsidRPr="002C75B8" w:rsidRDefault="00117FAF" w:rsidP="00117FAF">
      <w:pPr>
        <w:ind w:left="0" w:firstLine="0"/>
        <w:rPr>
          <w:bCs/>
          <w:sz w:val="22"/>
          <w:lang w:val="en-US"/>
        </w:rPr>
      </w:pPr>
      <w:r w:rsidRPr="00EF6EC8">
        <w:rPr>
          <w:sz w:val="22"/>
          <w:lang w:val="en-US"/>
        </w:rPr>
        <w:t>CL</w:t>
      </w:r>
      <w:r w:rsidRPr="00EF6EC8">
        <w:rPr>
          <w:bCs/>
          <w:sz w:val="22"/>
          <w:lang w:val="en-US"/>
        </w:rPr>
        <w:t xml:space="preserve">: antimonials, topical or systemic (20 mg </w:t>
      </w:r>
      <w:proofErr w:type="spellStart"/>
      <w:r w:rsidRPr="00EF6EC8">
        <w:rPr>
          <w:bCs/>
          <w:sz w:val="22"/>
          <w:lang w:val="en-US"/>
        </w:rPr>
        <w:t>Sb</w:t>
      </w:r>
      <w:r w:rsidRPr="001905E8">
        <w:rPr>
          <w:bCs/>
          <w:sz w:val="22"/>
          <w:vertAlign w:val="superscript"/>
          <w:lang w:val="en-US"/>
        </w:rPr>
        <w:t>v</w:t>
      </w:r>
      <w:proofErr w:type="spellEnd"/>
      <w:r w:rsidRPr="00EF6EC8">
        <w:rPr>
          <w:bCs/>
          <w:sz w:val="22"/>
          <w:lang w:val="en-US"/>
        </w:rPr>
        <w:t>/kg/day for 20 days). Paromomycin ointment</w:t>
      </w:r>
      <w:r w:rsidRPr="002C75B8">
        <w:rPr>
          <w:bCs/>
          <w:sz w:val="22"/>
          <w:lang w:val="en-US"/>
        </w:rPr>
        <w:t xml:space="preserve"> is also used for CL. </w:t>
      </w:r>
    </w:p>
    <w:p w:rsidR="00117FAF" w:rsidRDefault="00117FAF" w:rsidP="00117FAF">
      <w:pPr>
        <w:ind w:left="0" w:firstLine="0"/>
        <w:rPr>
          <w:bCs/>
          <w:sz w:val="22"/>
          <w:lang w:val="en-US"/>
        </w:rPr>
      </w:pPr>
    </w:p>
    <w:p w:rsidR="00117FAF" w:rsidRDefault="00117FAF" w:rsidP="00117FAF">
      <w:pPr>
        <w:ind w:left="0" w:firstLine="0"/>
        <w:rPr>
          <w:bCs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bCs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bCs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 xml:space="preserve">ACCESS TO CARE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Care for leishmaniasis is provided for free,</w:t>
      </w:r>
      <w:r>
        <w:rPr>
          <w:sz w:val="22"/>
          <w:lang w:val="en-US"/>
        </w:rPr>
        <w:t xml:space="preserve"> even</w:t>
      </w:r>
      <w:r w:rsidRPr="002C75B8">
        <w:rPr>
          <w:sz w:val="22"/>
          <w:lang w:val="en-US"/>
        </w:rPr>
        <w:t xml:space="preserve"> though a small variable payment may be required for some drugs (e.g., paromomycin ointment). Treatment with liposomal amphotericin B </w:t>
      </w:r>
      <w:r>
        <w:rPr>
          <w:sz w:val="22"/>
          <w:lang w:val="en-US"/>
        </w:rPr>
        <w:t xml:space="preserve">(AmBisome, Gilead) </w:t>
      </w:r>
      <w:r w:rsidRPr="002C75B8">
        <w:rPr>
          <w:sz w:val="22"/>
          <w:lang w:val="en-US"/>
        </w:rPr>
        <w:t>is not reimbursed by all insurance companies. Treatment is thought to be accessible for all patients. CL is diagnosed and treated at health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 xml:space="preserve"> and outreach post level. The diagnosis of VL takes place in specialized hospitals only. Only very few patients use the private sector (only for CL). 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Default="00117FAF" w:rsidP="00117FAF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Sodium stibogluconate and liposomal amphotericin B are included in the National Essential Drug List for VL, and sodium stibogluconate and paromomycin ointment </w:t>
      </w:r>
      <w:r>
        <w:rPr>
          <w:sz w:val="22"/>
          <w:lang w:val="en-GB"/>
        </w:rPr>
        <w:t xml:space="preserve">are </w:t>
      </w:r>
      <w:r w:rsidRPr="002C75B8">
        <w:rPr>
          <w:sz w:val="22"/>
          <w:lang w:val="en-GB"/>
        </w:rPr>
        <w:t xml:space="preserve">for CL. Drugs are not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pharmacies or drug markets. Pentostam (GSK) and AmBisome (Gilead) are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Israel</w:t>
          </w:r>
        </w:smartTag>
      </w:smartTag>
      <w:r w:rsidRPr="002C75B8">
        <w:rPr>
          <w:sz w:val="22"/>
          <w:lang w:val="en-GB"/>
        </w:rPr>
        <w:t xml:space="preserve">. </w:t>
      </w:r>
    </w:p>
    <w:p w:rsidR="00117FAF" w:rsidRPr="002C75B8" w:rsidRDefault="00117FAF" w:rsidP="00117FAF">
      <w:pPr>
        <w:ind w:left="0" w:firstLine="0"/>
        <w:rPr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7398A" w:rsidRDefault="00117FAF" w:rsidP="00117FAF">
      <w:pPr>
        <w:numPr>
          <w:ilvl w:val="0"/>
          <w:numId w:val="5"/>
        </w:numPr>
        <w:rPr>
          <w:sz w:val="22"/>
          <w:lang w:val="en-GB"/>
        </w:rPr>
      </w:pPr>
      <w:r>
        <w:rPr>
          <w:sz w:val="22"/>
          <w:lang w:val="en-US"/>
        </w:rPr>
        <w:t xml:space="preserve">Drs </w:t>
      </w:r>
      <w:r w:rsidRPr="008666E4">
        <w:rPr>
          <w:sz w:val="22"/>
          <w:lang w:val="en-US"/>
        </w:rPr>
        <w:t xml:space="preserve">Dan </w:t>
      </w:r>
      <w:proofErr w:type="spellStart"/>
      <w:r w:rsidRPr="008666E4">
        <w:rPr>
          <w:sz w:val="22"/>
          <w:lang w:val="en-US"/>
        </w:rPr>
        <w:t>Gandacu</w:t>
      </w:r>
      <w:proofErr w:type="spellEnd"/>
      <w:r w:rsidRPr="008666E4">
        <w:rPr>
          <w:sz w:val="22"/>
          <w:lang w:val="en-US"/>
        </w:rPr>
        <w:t xml:space="preserve">, </w:t>
      </w:r>
      <w:proofErr w:type="spellStart"/>
      <w:r w:rsidRPr="008666E4">
        <w:rPr>
          <w:sz w:val="22"/>
          <w:lang w:val="en-US"/>
        </w:rPr>
        <w:t>Laor</w:t>
      </w:r>
      <w:proofErr w:type="spellEnd"/>
      <w:r w:rsidRPr="008666E4">
        <w:rPr>
          <w:sz w:val="22"/>
          <w:lang w:val="en-US"/>
        </w:rPr>
        <w:t xml:space="preserve"> </w:t>
      </w:r>
      <w:proofErr w:type="spellStart"/>
      <w:r w:rsidRPr="008666E4">
        <w:rPr>
          <w:sz w:val="22"/>
          <w:lang w:val="en-US"/>
        </w:rPr>
        <w:t>Orshan</w:t>
      </w:r>
      <w:proofErr w:type="spellEnd"/>
      <w:r w:rsidRPr="008666E4">
        <w:rPr>
          <w:sz w:val="22"/>
          <w:lang w:val="en-US"/>
        </w:rPr>
        <w:t xml:space="preserve">, Tamar </w:t>
      </w:r>
      <w:proofErr w:type="spellStart"/>
      <w:r w:rsidRPr="008666E4">
        <w:rPr>
          <w:sz w:val="22"/>
          <w:lang w:val="en-US"/>
        </w:rPr>
        <w:t>Yeger</w:t>
      </w:r>
      <w:proofErr w:type="spellEnd"/>
      <w:r w:rsidRPr="008666E4">
        <w:rPr>
          <w:sz w:val="22"/>
          <w:lang w:val="en-US"/>
        </w:rPr>
        <w:t xml:space="preserve">, </w:t>
      </w:r>
      <w:r w:rsidRPr="0027398A">
        <w:rPr>
          <w:sz w:val="22"/>
          <w:lang w:val="en-US"/>
        </w:rPr>
        <w:t>Ministry of Environmental Protection, IMRIC-</w:t>
      </w:r>
      <w:r w:rsidRPr="00DE5798">
        <w:rPr>
          <w:sz w:val="22"/>
          <w:lang w:val="en-US"/>
        </w:rPr>
        <w:t xml:space="preserve"> Hebrew University-Hadassah</w:t>
      </w:r>
      <w:r>
        <w:rPr>
          <w:sz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lang w:val="en-US"/>
            </w:rPr>
            <w:t>Jerusalem</w:t>
          </w:r>
        </w:smartTag>
      </w:smartTag>
      <w:r>
        <w:rPr>
          <w:sz w:val="22"/>
          <w:lang w:val="en-US"/>
        </w:rPr>
        <w:t>.</w:t>
      </w:r>
    </w:p>
    <w:p w:rsidR="00117FAF" w:rsidRPr="0027398A" w:rsidRDefault="00117FAF" w:rsidP="00117FAF">
      <w:pPr>
        <w:numPr>
          <w:ilvl w:val="0"/>
          <w:numId w:val="5"/>
        </w:numPr>
        <w:rPr>
          <w:sz w:val="22"/>
          <w:lang w:val="en-GB"/>
        </w:rPr>
      </w:pPr>
      <w:r>
        <w:rPr>
          <w:sz w:val="22"/>
          <w:lang w:val="en-GB"/>
        </w:rPr>
        <w:t xml:space="preserve">Drs </w:t>
      </w:r>
      <w:r w:rsidRPr="008666E4">
        <w:rPr>
          <w:sz w:val="22"/>
          <w:lang w:val="en-GB"/>
        </w:rPr>
        <w:t xml:space="preserve">Eli Schwartz and Moshe </w:t>
      </w:r>
      <w:proofErr w:type="spellStart"/>
      <w:r w:rsidRPr="008666E4">
        <w:rPr>
          <w:sz w:val="22"/>
          <w:lang w:val="en-GB"/>
        </w:rPr>
        <w:t>Ephros</w:t>
      </w:r>
      <w:proofErr w:type="spellEnd"/>
      <w:r w:rsidRPr="008666E4">
        <w:rPr>
          <w:sz w:val="22"/>
          <w:lang w:val="en-GB"/>
        </w:rPr>
        <w:t xml:space="preserve">, Medical Ctr. </w:t>
      </w:r>
      <w:r w:rsidRPr="005A10C3">
        <w:rPr>
          <w:sz w:val="22"/>
          <w:lang w:val="en-GB"/>
        </w:rPr>
        <w:t xml:space="preserve">Tel </w:t>
      </w:r>
      <w:proofErr w:type="spellStart"/>
      <w:r w:rsidRPr="005A10C3">
        <w:rPr>
          <w:sz w:val="22"/>
          <w:lang w:val="en-GB"/>
        </w:rPr>
        <w:t>Hashomer</w:t>
      </w:r>
      <w:proofErr w:type="spellEnd"/>
      <w:r w:rsidRPr="005A10C3">
        <w:rPr>
          <w:sz w:val="22"/>
          <w:lang w:val="en-GB"/>
        </w:rPr>
        <w:t xml:space="preserve"> (ES) and </w:t>
      </w:r>
      <w:smartTag w:uri="urn:schemas-microsoft-com:office:smarttags" w:element="City">
        <w:r w:rsidRPr="005A10C3">
          <w:rPr>
            <w:sz w:val="22"/>
            <w:lang w:val="en-GB"/>
          </w:rPr>
          <w:t>Carmel</w:t>
        </w:r>
      </w:smartTag>
      <w:r w:rsidRPr="005A10C3">
        <w:rPr>
          <w:sz w:val="22"/>
          <w:lang w:val="en-GB"/>
        </w:rPr>
        <w:t xml:space="preserve"> Medical Ctr., </w:t>
      </w:r>
      <w:smartTag w:uri="urn:schemas-microsoft-com:office:smarttags" w:element="City">
        <w:smartTag w:uri="urn:schemas-microsoft-com:office:smarttags" w:element="place">
          <w:r w:rsidRPr="005A10C3">
            <w:rPr>
              <w:sz w:val="22"/>
              <w:lang w:val="en-GB"/>
            </w:rPr>
            <w:t>Haifa</w:t>
          </w:r>
        </w:smartTag>
      </w:smartTag>
      <w:r w:rsidRPr="005A10C3">
        <w:rPr>
          <w:sz w:val="22"/>
          <w:lang w:val="en-GB"/>
        </w:rPr>
        <w:t xml:space="preserve"> (ME)</w:t>
      </w:r>
      <w:r>
        <w:rPr>
          <w:sz w:val="22"/>
          <w:lang w:val="en-GB"/>
        </w:rPr>
        <w:t>.</w:t>
      </w:r>
    </w:p>
    <w:p w:rsidR="00117FAF" w:rsidRPr="00DE5798" w:rsidRDefault="00117FAF" w:rsidP="00117FAF">
      <w:pPr>
        <w:numPr>
          <w:ilvl w:val="0"/>
          <w:numId w:val="5"/>
        </w:numPr>
        <w:ind w:right="-1"/>
        <w:rPr>
          <w:bCs/>
          <w:i/>
          <w:iCs/>
          <w:sz w:val="22"/>
          <w:lang w:val="en-GB"/>
        </w:rPr>
      </w:pPr>
      <w:r>
        <w:rPr>
          <w:sz w:val="22"/>
          <w:lang w:val="en-GB"/>
        </w:rPr>
        <w:t xml:space="preserve">Dr </w:t>
      </w:r>
      <w:r w:rsidRPr="008666E4">
        <w:rPr>
          <w:sz w:val="22"/>
          <w:lang w:val="en-US"/>
        </w:rPr>
        <w:t>Charles L. Jaffe</w:t>
      </w:r>
      <w:r w:rsidRPr="0027398A">
        <w:rPr>
          <w:sz w:val="22"/>
          <w:lang w:val="en-US"/>
        </w:rPr>
        <w:t>,</w:t>
      </w:r>
      <w:r>
        <w:rPr>
          <w:sz w:val="22"/>
          <w:lang w:val="en-US"/>
        </w:rPr>
        <w:t xml:space="preserve"> </w:t>
      </w:r>
      <w:r w:rsidRPr="00DE5798">
        <w:rPr>
          <w:sz w:val="22"/>
          <w:lang w:val="en-GB"/>
        </w:rPr>
        <w:t>Hebrew University-Hadassah</w:t>
      </w:r>
      <w:r>
        <w:rPr>
          <w:sz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Jerusalem</w:t>
          </w:r>
        </w:smartTag>
      </w:smartTag>
      <w:r>
        <w:rPr>
          <w:sz w:val="22"/>
          <w:lang w:val="en-GB"/>
        </w:rPr>
        <w:t>.</w:t>
      </w:r>
      <w:r w:rsidRPr="00DE5798">
        <w:rPr>
          <w:bCs/>
          <w:i/>
          <w:iCs/>
          <w:sz w:val="22"/>
          <w:lang w:val="en-GB"/>
        </w:rPr>
        <w:t xml:space="preserve"> Leishmaniasis in the European Region, a consultative </w:t>
      </w:r>
      <w:proofErr w:type="spellStart"/>
      <w:r w:rsidRPr="00DE5798">
        <w:rPr>
          <w:bCs/>
          <w:i/>
          <w:iCs/>
          <w:sz w:val="22"/>
          <w:lang w:val="en-GB"/>
        </w:rPr>
        <w:t>intercountry</w:t>
      </w:r>
      <w:proofErr w:type="spellEnd"/>
      <w:r w:rsidRPr="00DE5798">
        <w:rPr>
          <w:bCs/>
          <w:i/>
          <w:iCs/>
          <w:sz w:val="22"/>
          <w:lang w:val="en-GB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DE5798">
            <w:rPr>
              <w:bCs/>
              <w:i/>
              <w:iCs/>
              <w:sz w:val="22"/>
              <w:lang w:val="en-GB"/>
            </w:rPr>
            <w:t>Istanbul</w:t>
          </w:r>
        </w:smartTag>
        <w:r w:rsidRPr="00DE5798">
          <w:rPr>
            <w:bCs/>
            <w:i/>
            <w:iCs/>
            <w:sz w:val="22"/>
            <w:lang w:val="en-GB"/>
          </w:rPr>
          <w:t xml:space="preserve">, </w:t>
        </w:r>
        <w:smartTag w:uri="urn:schemas-microsoft-com:office:smarttags" w:element="country-region">
          <w:r w:rsidRPr="00DE5798">
            <w:rPr>
              <w:bCs/>
              <w:i/>
              <w:iCs/>
              <w:sz w:val="22"/>
              <w:lang w:val="en-GB"/>
            </w:rPr>
            <w:t>Turkey</w:t>
          </w:r>
        </w:smartTag>
      </w:smartTag>
      <w:r w:rsidRPr="00DE5798">
        <w:rPr>
          <w:bCs/>
          <w:i/>
          <w:iCs/>
          <w:sz w:val="22"/>
          <w:lang w:val="en-GB"/>
        </w:rPr>
        <w:t>, 17–19 November 2009</w:t>
      </w:r>
      <w:r>
        <w:rPr>
          <w:bCs/>
          <w:i/>
          <w:iCs/>
          <w:sz w:val="22"/>
          <w:lang w:val="en-GB"/>
        </w:rPr>
        <w:t>.</w:t>
      </w:r>
    </w:p>
    <w:p w:rsidR="00117FAF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b/>
          <w:sz w:val="22"/>
          <w:lang w:val="en-US"/>
        </w:rPr>
      </w:pPr>
    </w:p>
    <w:p w:rsidR="00117FAF" w:rsidRDefault="00117FAF" w:rsidP="00117FAF">
      <w:pPr>
        <w:ind w:left="0" w:firstLine="0"/>
        <w:rPr>
          <w:color w:val="000000"/>
          <w:sz w:val="22"/>
          <w:lang w:val="en-US"/>
        </w:rPr>
      </w:pPr>
      <w:r w:rsidRPr="00193091">
        <w:rPr>
          <w:color w:val="000000"/>
          <w:sz w:val="22"/>
          <w:lang w:val="nl-NL"/>
        </w:rPr>
        <w:t>1. Baneth G, Dank G, Keren-Kornblatt E, Sekeles E, Adini I</w:t>
      </w:r>
      <w:r>
        <w:rPr>
          <w:color w:val="000000"/>
          <w:sz w:val="22"/>
          <w:lang w:val="nl-NL"/>
        </w:rPr>
        <w:t xml:space="preserve"> </w:t>
      </w:r>
      <w:r w:rsidRPr="00193091">
        <w:rPr>
          <w:color w:val="000000"/>
          <w:sz w:val="22"/>
          <w:lang w:val="nl-NL"/>
        </w:rPr>
        <w:t>et al</w:t>
      </w:r>
      <w:r>
        <w:rPr>
          <w:color w:val="000000"/>
          <w:sz w:val="22"/>
          <w:lang w:val="nl-NL"/>
        </w:rPr>
        <w:t xml:space="preserve"> (1998)</w:t>
      </w:r>
      <w:r w:rsidRPr="00193091">
        <w:rPr>
          <w:color w:val="000000"/>
          <w:sz w:val="22"/>
          <w:lang w:val="nl-NL"/>
        </w:rPr>
        <w:t xml:space="preserve">. </w:t>
      </w:r>
      <w:proofErr w:type="gramStart"/>
      <w:r w:rsidRPr="002C75B8">
        <w:rPr>
          <w:color w:val="000000"/>
          <w:sz w:val="22"/>
          <w:lang w:val="en-US"/>
        </w:rPr>
        <w:t>Emergence of visceral leishmaniasis in central Israel.</w:t>
      </w:r>
      <w:proofErr w:type="gramEnd"/>
      <w:r w:rsidRPr="002C75B8">
        <w:rPr>
          <w:color w:val="000000"/>
          <w:sz w:val="22"/>
          <w:lang w:val="en-US"/>
        </w:rPr>
        <w:t xml:space="preserve"> Am J </w:t>
      </w:r>
      <w:proofErr w:type="spellStart"/>
      <w:r w:rsidRPr="002C75B8">
        <w:rPr>
          <w:color w:val="000000"/>
          <w:sz w:val="22"/>
          <w:lang w:val="en-US"/>
        </w:rPr>
        <w:t>Trop</w:t>
      </w:r>
      <w:proofErr w:type="spellEnd"/>
      <w:r w:rsidRPr="002C75B8">
        <w:rPr>
          <w:color w:val="000000"/>
          <w:sz w:val="22"/>
          <w:lang w:val="en-US"/>
        </w:rPr>
        <w:t xml:space="preserve"> Med </w:t>
      </w:r>
      <w:proofErr w:type="spellStart"/>
      <w:r w:rsidRPr="002C75B8">
        <w:rPr>
          <w:color w:val="000000"/>
          <w:sz w:val="22"/>
          <w:lang w:val="en-US"/>
        </w:rPr>
        <w:t>Hyg</w:t>
      </w:r>
      <w:proofErr w:type="spellEnd"/>
      <w:r>
        <w:rPr>
          <w:color w:val="000000"/>
          <w:sz w:val="22"/>
          <w:lang w:val="en-US"/>
        </w:rPr>
        <w:t xml:space="preserve"> </w:t>
      </w:r>
      <w:r w:rsidRPr="002C75B8">
        <w:rPr>
          <w:color w:val="000000"/>
          <w:sz w:val="22"/>
          <w:lang w:val="en-US"/>
        </w:rPr>
        <w:t>59 (5):722-725.</w:t>
      </w:r>
    </w:p>
    <w:p w:rsidR="00117FAF" w:rsidRPr="002C75B8" w:rsidRDefault="00117FAF" w:rsidP="00117FAF">
      <w:pPr>
        <w:ind w:left="0" w:firstLine="0"/>
        <w:rPr>
          <w:color w:val="000000"/>
          <w:sz w:val="22"/>
          <w:lang w:val="en-US"/>
        </w:rPr>
      </w:pPr>
    </w:p>
    <w:p w:rsidR="00117FAF" w:rsidRPr="0027398A" w:rsidRDefault="00117FAF" w:rsidP="00117FAF">
      <w:pPr>
        <w:ind w:left="0" w:firstLine="0"/>
        <w:rPr>
          <w:sz w:val="22"/>
          <w:lang w:val="en-US"/>
        </w:rPr>
      </w:pPr>
      <w:r w:rsidRPr="0027398A">
        <w:rPr>
          <w:sz w:val="22"/>
          <w:lang w:val="en-US"/>
        </w:rPr>
        <w:t>2. Desjeux P</w:t>
      </w:r>
      <w:r>
        <w:rPr>
          <w:sz w:val="22"/>
          <w:lang w:val="en-US"/>
        </w:rPr>
        <w:t xml:space="preserve"> (1991)</w:t>
      </w:r>
      <w:r w:rsidRPr="0027398A">
        <w:rPr>
          <w:sz w:val="22"/>
          <w:lang w:val="en-US"/>
        </w:rPr>
        <w:t xml:space="preserve">. </w:t>
      </w:r>
      <w:proofErr w:type="gramStart"/>
      <w:r w:rsidRPr="0027398A">
        <w:rPr>
          <w:sz w:val="22"/>
          <w:lang w:val="en-US"/>
        </w:rPr>
        <w:t>Information on the epidemiology and control of the leishmaniases by country or territory.</w:t>
      </w:r>
      <w:proofErr w:type="gramEnd"/>
      <w:r w:rsidRPr="0027398A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117FAF" w:rsidRPr="002C75B8" w:rsidRDefault="00117FAF" w:rsidP="00117FAF">
      <w:pPr>
        <w:ind w:left="0" w:firstLine="0"/>
        <w:rPr>
          <w:color w:val="000000"/>
          <w:sz w:val="22"/>
          <w:lang w:val="en-US"/>
        </w:rPr>
      </w:pPr>
    </w:p>
    <w:p w:rsidR="00117FAF" w:rsidRPr="002C75B8" w:rsidRDefault="00117FAF" w:rsidP="00117FAF">
      <w:pPr>
        <w:ind w:left="0" w:firstLine="0"/>
        <w:rPr>
          <w:sz w:val="22"/>
          <w:lang w:val="en-GB"/>
        </w:rPr>
      </w:pPr>
      <w:r w:rsidRPr="005B3AA4">
        <w:rPr>
          <w:color w:val="000000"/>
          <w:sz w:val="22"/>
          <w:lang w:val="en-US"/>
        </w:rPr>
        <w:t xml:space="preserve">3. </w:t>
      </w:r>
      <w:hyperlink r:id="rId9" w:history="1">
        <w:proofErr w:type="spellStart"/>
        <w:r w:rsidRPr="002C75B8">
          <w:rPr>
            <w:rFonts w:eastAsia="Times New Roman"/>
            <w:color w:val="000000"/>
            <w:sz w:val="22"/>
            <w:lang w:val="en-US" w:eastAsia="en-GB"/>
          </w:rPr>
          <w:t>Talmi</w:t>
        </w:r>
        <w:proofErr w:type="spellEnd"/>
        <w:r w:rsidRPr="002C75B8">
          <w:rPr>
            <w:rFonts w:eastAsia="Times New Roman"/>
            <w:color w:val="000000"/>
            <w:sz w:val="22"/>
            <w:lang w:val="en-US" w:eastAsia="en-GB"/>
          </w:rPr>
          <w:t>-Frank D</w:t>
        </w:r>
      </w:hyperlink>
      <w:r w:rsidRPr="002C75B8">
        <w:rPr>
          <w:rFonts w:eastAsia="Times New Roman"/>
          <w:color w:val="000000"/>
          <w:sz w:val="22"/>
          <w:lang w:val="en-US" w:eastAsia="en-GB"/>
        </w:rPr>
        <w:t xml:space="preserve">, </w:t>
      </w:r>
      <w:hyperlink r:id="rId10" w:history="1">
        <w:r w:rsidRPr="002C75B8">
          <w:rPr>
            <w:rFonts w:eastAsia="Times New Roman"/>
            <w:color w:val="000000"/>
            <w:sz w:val="22"/>
            <w:lang w:val="en-US" w:eastAsia="en-GB"/>
          </w:rPr>
          <w:t>Jaffe CL</w:t>
        </w:r>
      </w:hyperlink>
      <w:r w:rsidRPr="002C75B8">
        <w:rPr>
          <w:rFonts w:eastAsia="Times New Roman"/>
          <w:color w:val="000000"/>
          <w:sz w:val="22"/>
          <w:lang w:val="en-US" w:eastAsia="en-GB"/>
        </w:rPr>
        <w:t xml:space="preserve">, </w:t>
      </w:r>
      <w:hyperlink r:id="rId11" w:history="1">
        <w:proofErr w:type="spellStart"/>
        <w:r w:rsidRPr="002C75B8">
          <w:rPr>
            <w:rFonts w:eastAsia="Times New Roman"/>
            <w:color w:val="000000"/>
            <w:sz w:val="22"/>
            <w:lang w:val="en-US" w:eastAsia="en-GB"/>
          </w:rPr>
          <w:t>Nasereddin</w:t>
        </w:r>
        <w:proofErr w:type="spellEnd"/>
        <w:r w:rsidRPr="002C75B8">
          <w:rPr>
            <w:rFonts w:eastAsia="Times New Roman"/>
            <w:color w:val="000000"/>
            <w:sz w:val="22"/>
            <w:lang w:val="en-US" w:eastAsia="en-GB"/>
          </w:rPr>
          <w:t xml:space="preserve"> A</w:t>
        </w:r>
      </w:hyperlink>
      <w:r w:rsidRPr="002C75B8">
        <w:rPr>
          <w:rFonts w:eastAsia="Times New Roman"/>
          <w:color w:val="000000"/>
          <w:sz w:val="22"/>
          <w:lang w:val="en-US" w:eastAsia="en-GB"/>
        </w:rPr>
        <w:t xml:space="preserve">, </w:t>
      </w:r>
      <w:hyperlink r:id="rId12" w:history="1">
        <w:r w:rsidRPr="002C75B8">
          <w:rPr>
            <w:rFonts w:eastAsia="Times New Roman"/>
            <w:color w:val="000000"/>
            <w:sz w:val="22"/>
            <w:lang w:val="en-US" w:eastAsia="en-GB"/>
          </w:rPr>
          <w:t>Warburg A</w:t>
        </w:r>
      </w:hyperlink>
      <w:r w:rsidRPr="002C75B8">
        <w:rPr>
          <w:rFonts w:eastAsia="Times New Roman"/>
          <w:color w:val="000000"/>
          <w:sz w:val="22"/>
          <w:lang w:val="en-US" w:eastAsia="en-GB"/>
        </w:rPr>
        <w:t xml:space="preserve">, </w:t>
      </w:r>
      <w:hyperlink r:id="rId13" w:history="1">
        <w:r w:rsidRPr="002C75B8">
          <w:rPr>
            <w:rFonts w:eastAsia="Times New Roman"/>
            <w:color w:val="000000"/>
            <w:sz w:val="22"/>
            <w:lang w:val="en-US" w:eastAsia="en-GB"/>
          </w:rPr>
          <w:t>King R</w:t>
        </w:r>
      </w:hyperlink>
      <w:r>
        <w:rPr>
          <w:rFonts w:eastAsia="Times New Roman"/>
          <w:color w:val="000000"/>
          <w:sz w:val="22"/>
          <w:lang w:val="en-US" w:eastAsia="en-GB"/>
        </w:rPr>
        <w:t xml:space="preserve"> </w:t>
      </w:r>
      <w:r>
        <w:rPr>
          <w:color w:val="000000"/>
          <w:sz w:val="22"/>
        </w:rPr>
        <w:t>et al (2010)</w:t>
      </w:r>
      <w:r w:rsidRPr="002C75B8">
        <w:rPr>
          <w:rFonts w:eastAsia="Times New Roman"/>
          <w:color w:val="000000"/>
          <w:sz w:val="22"/>
          <w:lang w:val="en-US" w:eastAsia="en-GB"/>
        </w:rPr>
        <w:t xml:space="preserve">. </w:t>
      </w:r>
      <w:proofErr w:type="gramStart"/>
      <w:r w:rsidRPr="002C75B8">
        <w:rPr>
          <w:rFonts w:eastAsia="Times New Roman"/>
          <w:color w:val="000000"/>
          <w:kern w:val="36"/>
          <w:sz w:val="22"/>
          <w:lang w:val="en-US" w:eastAsia="en-GB"/>
        </w:rPr>
        <w:t>Leishmania tropica in rock hyraxes (</w:t>
      </w:r>
      <w:proofErr w:type="spellStart"/>
      <w:r w:rsidRPr="002C75B8">
        <w:rPr>
          <w:rFonts w:eastAsia="Times New Roman"/>
          <w:color w:val="000000"/>
          <w:kern w:val="36"/>
          <w:sz w:val="22"/>
          <w:lang w:val="en-US" w:eastAsia="en-GB"/>
        </w:rPr>
        <w:t>Procavia</w:t>
      </w:r>
      <w:proofErr w:type="spellEnd"/>
      <w:r w:rsidRPr="002C75B8">
        <w:rPr>
          <w:rFonts w:eastAsia="Times New Roman"/>
          <w:color w:val="000000"/>
          <w:kern w:val="36"/>
          <w:sz w:val="22"/>
          <w:lang w:val="en-US" w:eastAsia="en-GB"/>
        </w:rPr>
        <w:t xml:space="preserve"> </w:t>
      </w:r>
      <w:proofErr w:type="spellStart"/>
      <w:r w:rsidRPr="002C75B8">
        <w:rPr>
          <w:rFonts w:eastAsia="Times New Roman"/>
          <w:color w:val="000000"/>
          <w:kern w:val="36"/>
          <w:sz w:val="22"/>
          <w:lang w:val="en-US" w:eastAsia="en-GB"/>
        </w:rPr>
        <w:t>capensis</w:t>
      </w:r>
      <w:proofErr w:type="spellEnd"/>
      <w:r w:rsidRPr="002C75B8">
        <w:rPr>
          <w:rFonts w:eastAsia="Times New Roman"/>
          <w:color w:val="000000"/>
          <w:kern w:val="36"/>
          <w:sz w:val="22"/>
          <w:lang w:val="en-US" w:eastAsia="en-GB"/>
        </w:rPr>
        <w:t>) in a focus of human cutaneous leishmaniasis.</w:t>
      </w:r>
      <w:proofErr w:type="gramEnd"/>
      <w:r w:rsidRPr="002C75B8">
        <w:rPr>
          <w:rFonts w:eastAsia="Times New Roman"/>
          <w:color w:val="000000"/>
          <w:kern w:val="36"/>
          <w:sz w:val="22"/>
          <w:lang w:val="en-US" w:eastAsia="en-GB"/>
        </w:rPr>
        <w:t xml:space="preserve"> </w:t>
      </w:r>
      <w:hyperlink r:id="rId14" w:tooltip="The American journal of tropical medicine and hygiene." w:history="1">
        <w:r w:rsidRPr="002C75B8">
          <w:rPr>
            <w:rFonts w:eastAsia="Times New Roman"/>
            <w:color w:val="000000"/>
            <w:sz w:val="22"/>
            <w:lang w:val="en-GB" w:eastAsia="en-GB"/>
          </w:rPr>
          <w:t xml:space="preserve">Am J </w:t>
        </w:r>
        <w:proofErr w:type="spellStart"/>
        <w:r w:rsidRPr="002C75B8">
          <w:rPr>
            <w:rFonts w:eastAsia="Times New Roman"/>
            <w:color w:val="000000"/>
            <w:sz w:val="22"/>
            <w:lang w:val="en-GB" w:eastAsia="en-GB"/>
          </w:rPr>
          <w:t>Trop</w:t>
        </w:r>
        <w:proofErr w:type="spellEnd"/>
        <w:r w:rsidRPr="002C75B8">
          <w:rPr>
            <w:rFonts w:eastAsia="Times New Roman"/>
            <w:color w:val="000000"/>
            <w:sz w:val="22"/>
            <w:lang w:val="en-GB" w:eastAsia="en-GB"/>
          </w:rPr>
          <w:t xml:space="preserve"> Med </w:t>
        </w:r>
        <w:proofErr w:type="gramStart"/>
        <w:r w:rsidRPr="002C75B8">
          <w:rPr>
            <w:rFonts w:eastAsia="Times New Roman"/>
            <w:color w:val="000000"/>
            <w:sz w:val="22"/>
            <w:lang w:val="en-GB" w:eastAsia="en-GB"/>
          </w:rPr>
          <w:t>Hyg.</w:t>
        </w:r>
        <w:proofErr w:type="gramEnd"/>
      </w:hyperlink>
      <w:r w:rsidRPr="002C75B8">
        <w:rPr>
          <w:rFonts w:eastAsia="Times New Roman"/>
          <w:color w:val="000000"/>
          <w:sz w:val="22"/>
          <w:lang w:val="en-GB" w:eastAsia="en-GB"/>
        </w:rPr>
        <w:t>82(5):814-8.</w:t>
      </w:r>
    </w:p>
    <w:sectPr w:rsidR="00117FAF" w:rsidRPr="002C75B8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D37"/>
    <w:multiLevelType w:val="hybridMultilevel"/>
    <w:tmpl w:val="29D073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7FAF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17FAF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02C3D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AF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117FA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AF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ncbi.nlm.nih.gov/pubmed?term=%22King%20R%22%5BAuthor%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Warburg%20A%22%5BAuthor%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Nasereddin%20A%22%5BAuthor%5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%22Jaffe%20CL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Talmi-Frank%20D%22%5BAuthor%5D" TargetMode="External"/><Relationship Id="rId14" Type="http://schemas.openxmlformats.org/officeDocument/2006/relationships/hyperlink" Target="javascript:AL_get(this,%20'jour',%20'Am%20J%20Trop%20Med%20Hyg.')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3.1034482758620696E-2"/>
          <c:w val="0.90401146131805155"/>
          <c:h val="0.7931034482758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9"/>
                <c:pt idx="0">
                  <c:v>95</c:v>
                </c:pt>
                <c:pt idx="1">
                  <c:v>63</c:v>
                </c:pt>
                <c:pt idx="2">
                  <c:v>82</c:v>
                </c:pt>
                <c:pt idx="3">
                  <c:v>207</c:v>
                </c:pt>
                <c:pt idx="4">
                  <c:v>523</c:v>
                </c:pt>
                <c:pt idx="5">
                  <c:v>686</c:v>
                </c:pt>
                <c:pt idx="6">
                  <c:v>575</c:v>
                </c:pt>
                <c:pt idx="7">
                  <c:v>904</c:v>
                </c:pt>
                <c:pt idx="8">
                  <c:v>884</c:v>
                </c:pt>
              </c:numCache>
            </c:numRef>
          </c:val>
        </c:ser>
        <c:gapDepth val="0"/>
        <c:shape val="box"/>
        <c:axId val="55517952"/>
        <c:axId val="55533568"/>
        <c:axId val="0"/>
      </c:bar3DChart>
      <c:catAx>
        <c:axId val="5551795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533568"/>
        <c:crosses val="autoZero"/>
        <c:auto val="1"/>
        <c:lblAlgn val="ctr"/>
        <c:lblOffset val="100"/>
        <c:tickLblSkip val="1"/>
        <c:tickMarkSkip val="1"/>
      </c:catAx>
      <c:valAx>
        <c:axId val="55533568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5179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2012-04-01T21:26:00Z</dcterms:created>
  <dcterms:modified xsi:type="dcterms:W3CDTF">2012-04-01T21:33:00Z</dcterms:modified>
</cp:coreProperties>
</file>