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05" w:rsidRPr="003F7730" w:rsidRDefault="00560305" w:rsidP="00560305">
      <w:pPr>
        <w:ind w:left="0" w:firstLine="0"/>
        <w:rPr>
          <w:b/>
          <w:sz w:val="22"/>
          <w:u w:val="single"/>
          <w:lang w:val="en-US"/>
        </w:rPr>
      </w:pPr>
      <w:r w:rsidRPr="003F7730">
        <w:rPr>
          <w:b/>
          <w:sz w:val="22"/>
          <w:u w:val="single"/>
          <w:lang w:val="en-US"/>
        </w:rPr>
        <w:t>ETHIOPIA</w:t>
      </w:r>
    </w:p>
    <w:p w:rsidR="00560305" w:rsidRDefault="00560305" w:rsidP="00560305">
      <w:pPr>
        <w:ind w:left="0" w:firstLine="0"/>
        <w:rPr>
          <w:sz w:val="22"/>
          <w:lang w:val="en-GB"/>
        </w:rPr>
      </w:pPr>
    </w:p>
    <w:p w:rsidR="00560305" w:rsidRDefault="00560305" w:rsidP="00560305">
      <w:pPr>
        <w:ind w:left="0" w:firstLine="0"/>
        <w:rPr>
          <w:sz w:val="22"/>
          <w:lang w:val="en-GB"/>
        </w:rPr>
      </w:pPr>
      <w:r>
        <w:rPr>
          <w:noProof/>
          <w:sz w:val="22"/>
          <w:lang w:val="en-US"/>
        </w:rPr>
        <w:drawing>
          <wp:inline distT="0" distB="0" distL="0" distR="0">
            <wp:extent cx="2857500" cy="19145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05" w:rsidRDefault="00560305" w:rsidP="00560305">
      <w:pPr>
        <w:ind w:left="0" w:firstLine="0"/>
        <w:rPr>
          <w:sz w:val="22"/>
          <w:lang w:val="en-GB"/>
        </w:rPr>
      </w:pPr>
    </w:p>
    <w:p w:rsidR="00560305" w:rsidRPr="00EE6A36" w:rsidRDefault="00560305" w:rsidP="00560305">
      <w:pPr>
        <w:spacing w:line="480" w:lineRule="auto"/>
        <w:rPr>
          <w:b/>
          <w:sz w:val="22"/>
          <w:lang w:val="en-US"/>
        </w:rPr>
      </w:pPr>
      <w:r w:rsidRPr="00EE6A36">
        <w:rPr>
          <w:b/>
          <w:sz w:val="22"/>
          <w:lang w:val="en-US"/>
        </w:rPr>
        <w:t>BASIC COUNTRY DATA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>Total Population:</w:t>
      </w:r>
      <w:r>
        <w:rPr>
          <w:bCs/>
          <w:sz w:val="22"/>
          <w:lang w:val="en-US"/>
        </w:rPr>
        <w:t xml:space="preserve"> </w:t>
      </w:r>
      <w:r w:rsidRPr="00984ED5">
        <w:rPr>
          <w:bCs/>
          <w:sz w:val="22"/>
          <w:lang w:val="en-US"/>
        </w:rPr>
        <w:t>8</w:t>
      </w:r>
      <w:r>
        <w:rPr>
          <w:bCs/>
          <w:sz w:val="22"/>
          <w:lang w:val="en-US"/>
        </w:rPr>
        <w:t>2,949,541</w:t>
      </w:r>
      <w:r w:rsidRPr="00984ED5">
        <w:rPr>
          <w:bCs/>
          <w:sz w:val="22"/>
          <w:lang w:val="en-US"/>
        </w:rPr>
        <w:t xml:space="preserve"> 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>Population 0-14 years:</w:t>
      </w:r>
      <w:r>
        <w:rPr>
          <w:bCs/>
          <w:sz w:val="22"/>
          <w:lang w:val="en-US"/>
        </w:rPr>
        <w:t xml:space="preserve"> </w:t>
      </w:r>
      <w:r w:rsidRPr="00984ED5">
        <w:rPr>
          <w:bCs/>
          <w:sz w:val="22"/>
          <w:lang w:val="en-US"/>
        </w:rPr>
        <w:t>4</w:t>
      </w:r>
      <w:r>
        <w:rPr>
          <w:bCs/>
          <w:sz w:val="22"/>
          <w:lang w:val="en-US"/>
        </w:rPr>
        <w:t>1</w:t>
      </w:r>
      <w:r w:rsidRPr="00984ED5">
        <w:rPr>
          <w:bCs/>
          <w:sz w:val="22"/>
          <w:lang w:val="en-US"/>
        </w:rPr>
        <w:t xml:space="preserve">% 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>Rural population:</w:t>
      </w:r>
      <w:r>
        <w:rPr>
          <w:bCs/>
          <w:sz w:val="22"/>
          <w:lang w:val="en-US"/>
        </w:rPr>
        <w:t xml:space="preserve"> </w:t>
      </w:r>
      <w:r w:rsidRPr="00984ED5">
        <w:rPr>
          <w:bCs/>
          <w:sz w:val="22"/>
          <w:lang w:val="en-US"/>
        </w:rPr>
        <w:t>8</w:t>
      </w:r>
      <w:r>
        <w:rPr>
          <w:bCs/>
          <w:sz w:val="22"/>
          <w:lang w:val="en-US"/>
        </w:rPr>
        <w:t>2</w:t>
      </w:r>
      <w:r w:rsidRPr="00984ED5">
        <w:rPr>
          <w:bCs/>
          <w:sz w:val="22"/>
          <w:lang w:val="en-US"/>
        </w:rPr>
        <w:t xml:space="preserve">% 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984ED5">
        <w:rPr>
          <w:bCs/>
          <w:sz w:val="22"/>
          <w:lang w:val="en-US"/>
        </w:rPr>
        <w:t>25 a day: 39%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 xml:space="preserve">Population living under the national poverty line: </w:t>
      </w:r>
      <w:r>
        <w:rPr>
          <w:bCs/>
          <w:sz w:val="22"/>
          <w:lang w:val="en-US"/>
        </w:rPr>
        <w:t>no data</w:t>
      </w:r>
      <w:r w:rsidRPr="00984ED5">
        <w:rPr>
          <w:bCs/>
          <w:sz w:val="22"/>
          <w:lang w:val="en-US"/>
        </w:rPr>
        <w:t xml:space="preserve"> 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 xml:space="preserve">Income status: Low income economy 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 xml:space="preserve">Ranking: Low </w:t>
      </w:r>
      <w:r>
        <w:rPr>
          <w:bCs/>
          <w:sz w:val="22"/>
          <w:lang w:val="en-US"/>
        </w:rPr>
        <w:t>h</w:t>
      </w:r>
      <w:r w:rsidRPr="00984ED5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984ED5">
        <w:rPr>
          <w:bCs/>
          <w:sz w:val="22"/>
          <w:lang w:val="en-US"/>
        </w:rPr>
        <w:t>evelopment (ranking 17</w:t>
      </w:r>
      <w:r>
        <w:rPr>
          <w:bCs/>
          <w:sz w:val="22"/>
          <w:lang w:val="en-US"/>
        </w:rPr>
        <w:t>4</w:t>
      </w:r>
      <w:r w:rsidRPr="00984ED5">
        <w:rPr>
          <w:bCs/>
          <w:sz w:val="22"/>
          <w:lang w:val="en-US"/>
        </w:rPr>
        <w:t>)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>Per capita total expenditure on health at average exchange rate (US dollar):</w:t>
      </w:r>
      <w:r>
        <w:rPr>
          <w:bCs/>
          <w:sz w:val="22"/>
          <w:lang w:val="en-US"/>
        </w:rPr>
        <w:t xml:space="preserve"> 15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>Life expectancy at birth (years):</w:t>
      </w:r>
      <w:r>
        <w:rPr>
          <w:bCs/>
          <w:sz w:val="22"/>
          <w:lang w:val="en-US"/>
        </w:rPr>
        <w:t xml:space="preserve"> 61</w:t>
      </w:r>
      <w:r w:rsidRPr="00984ED5">
        <w:rPr>
          <w:bCs/>
          <w:sz w:val="22"/>
          <w:lang w:val="en-US"/>
        </w:rPr>
        <w:t xml:space="preserve"> </w:t>
      </w:r>
    </w:p>
    <w:p w:rsidR="00560305" w:rsidRPr="00984ED5" w:rsidRDefault="00560305" w:rsidP="00560305">
      <w:pPr>
        <w:rPr>
          <w:bCs/>
          <w:sz w:val="22"/>
          <w:lang w:val="en-US"/>
        </w:rPr>
      </w:pPr>
      <w:r w:rsidRPr="00984ED5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984ED5">
        <w:rPr>
          <w:bCs/>
          <w:sz w:val="22"/>
          <w:lang w:val="en-US"/>
        </w:rPr>
        <w:t xml:space="preserve"> life expectancy at birth (years):</w:t>
      </w:r>
      <w:r>
        <w:rPr>
          <w:bCs/>
          <w:sz w:val="22"/>
          <w:lang w:val="en-US"/>
        </w:rPr>
        <w:t xml:space="preserve"> </w:t>
      </w:r>
      <w:r w:rsidRPr="00984ED5">
        <w:rPr>
          <w:bCs/>
          <w:sz w:val="22"/>
          <w:lang w:val="en-US"/>
        </w:rPr>
        <w:t xml:space="preserve">41 </w:t>
      </w:r>
    </w:p>
    <w:p w:rsidR="00560305" w:rsidRPr="00984ED5" w:rsidRDefault="00560305" w:rsidP="00560305">
      <w:pPr>
        <w:rPr>
          <w:bCs/>
          <w:sz w:val="22"/>
          <w:lang w:val="en-US"/>
        </w:rPr>
      </w:pPr>
    </w:p>
    <w:p w:rsidR="00560305" w:rsidRPr="00EE6A36" w:rsidRDefault="00560305" w:rsidP="00560305">
      <w:pPr>
        <w:rPr>
          <w:bCs/>
          <w:sz w:val="22"/>
          <w:lang w:val="en-US"/>
        </w:rPr>
      </w:pPr>
    </w:p>
    <w:p w:rsidR="00560305" w:rsidRPr="00984ED5" w:rsidRDefault="00560305" w:rsidP="00560305">
      <w:pPr>
        <w:spacing w:line="480" w:lineRule="auto"/>
        <w:rPr>
          <w:sz w:val="22"/>
          <w:lang w:val="en-GB"/>
        </w:rPr>
      </w:pPr>
      <w:r w:rsidRPr="00EE6A36">
        <w:rPr>
          <w:b/>
          <w:sz w:val="22"/>
          <w:lang w:val="en-US"/>
        </w:rPr>
        <w:t xml:space="preserve">BACKGROUND INFORMATION </w:t>
      </w:r>
    </w:p>
    <w:p w:rsidR="00560305" w:rsidRPr="002C75B8" w:rsidRDefault="00560305" w:rsidP="00560305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Both CL and VL are growing health problems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Ethiopia</w:t>
          </w:r>
        </w:smartTag>
      </w:smartTag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with endemic areas that are continually spreading. The first case of VL in Ethiopia was documented in 1942 in the southern parts of the country. Now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there are an estimated </w:t>
      </w:r>
      <w:r>
        <w:rPr>
          <w:sz w:val="22"/>
          <w:lang w:val="en-US"/>
        </w:rPr>
        <w:t xml:space="preserve">2,000 to </w:t>
      </w:r>
      <w:r w:rsidRPr="002C75B8">
        <w:rPr>
          <w:sz w:val="22"/>
          <w:lang w:val="en-US"/>
        </w:rPr>
        <w:t>4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500 cases yearly, with endemic areas in the lowlands of the </w:t>
      </w: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>orth</w:t>
      </w:r>
      <w:r>
        <w:rPr>
          <w:sz w:val="22"/>
          <w:lang w:val="en-US"/>
        </w:rPr>
        <w:t>w</w:t>
      </w:r>
      <w:r w:rsidRPr="002C75B8">
        <w:rPr>
          <w:sz w:val="22"/>
          <w:lang w:val="en-US"/>
        </w:rPr>
        <w:t xml:space="preserve">est, </w:t>
      </w:r>
      <w:r>
        <w:rPr>
          <w:sz w:val="22"/>
          <w:lang w:val="en-US"/>
        </w:rPr>
        <w:t>c</w:t>
      </w:r>
      <w:r w:rsidRPr="002C75B8">
        <w:rPr>
          <w:sz w:val="22"/>
          <w:lang w:val="en-US"/>
        </w:rPr>
        <w:t xml:space="preserve">entral, </w:t>
      </w:r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 xml:space="preserve">outh and </w:t>
      </w:r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>outh</w:t>
      </w:r>
      <w:r>
        <w:rPr>
          <w:sz w:val="22"/>
          <w:lang w:val="en-US"/>
        </w:rPr>
        <w:t>w</w:t>
      </w:r>
      <w:r w:rsidRPr="002C75B8">
        <w:rPr>
          <w:sz w:val="22"/>
          <w:lang w:val="en-US"/>
        </w:rPr>
        <w:t xml:space="preserve">estern parts of the country. In the </w:t>
      </w: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 xml:space="preserve">orth, the vector is associated with Red Acacia and </w:t>
      </w:r>
      <w:proofErr w:type="spellStart"/>
      <w:r w:rsidRPr="002C75B8">
        <w:rPr>
          <w:sz w:val="22"/>
          <w:lang w:val="en-US"/>
        </w:rPr>
        <w:t>Balanites</w:t>
      </w:r>
      <w:proofErr w:type="spellEnd"/>
      <w:r w:rsidRPr="002C75B8">
        <w:rPr>
          <w:sz w:val="22"/>
          <w:lang w:val="en-US"/>
        </w:rPr>
        <w:t xml:space="preserve"> trees, in the </w:t>
      </w:r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>outh with termite hills. VL affects mainly children and young adults (</w:t>
      </w:r>
      <w:r>
        <w:rPr>
          <w:sz w:val="22"/>
          <w:lang w:val="en-US"/>
        </w:rPr>
        <w:t xml:space="preserve">the </w:t>
      </w:r>
      <w:r w:rsidRPr="002C75B8">
        <w:rPr>
          <w:sz w:val="22"/>
          <w:lang w:val="en-US"/>
        </w:rPr>
        <w:t xml:space="preserve">mean age </w:t>
      </w:r>
      <w:r>
        <w:rPr>
          <w:sz w:val="22"/>
          <w:lang w:val="en-US"/>
        </w:rPr>
        <w:t xml:space="preserve">is </w:t>
      </w:r>
      <w:r w:rsidRPr="002C75B8">
        <w:rPr>
          <w:sz w:val="22"/>
          <w:lang w:val="en-US"/>
        </w:rPr>
        <w:t xml:space="preserve">23). </w:t>
      </w:r>
    </w:p>
    <w:p w:rsidR="00560305" w:rsidRPr="002C75B8" w:rsidRDefault="00560305" w:rsidP="00560305">
      <w:pPr>
        <w:ind w:left="0" w:firstLine="0"/>
        <w:rPr>
          <w:sz w:val="22"/>
          <w:lang w:val="en-US"/>
        </w:rPr>
      </w:pPr>
    </w:p>
    <w:p w:rsidR="00560305" w:rsidRPr="002C75B8" w:rsidRDefault="00560305" w:rsidP="00560305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CL </w:t>
      </w:r>
      <w:r>
        <w:rPr>
          <w:sz w:val="22"/>
          <w:lang w:val="en-US"/>
        </w:rPr>
        <w:t>has been</w:t>
      </w:r>
      <w:r w:rsidRPr="002C75B8">
        <w:rPr>
          <w:sz w:val="22"/>
          <w:lang w:val="en-US"/>
        </w:rPr>
        <w:t xml:space="preserve"> well known since 1913 and </w:t>
      </w:r>
      <w:r>
        <w:rPr>
          <w:sz w:val="22"/>
          <w:lang w:val="en-US"/>
        </w:rPr>
        <w:t xml:space="preserve">is </w:t>
      </w:r>
      <w:r w:rsidRPr="002C75B8">
        <w:rPr>
          <w:sz w:val="22"/>
          <w:lang w:val="en-US"/>
        </w:rPr>
        <w:t>endemic in most regions</w:t>
      </w:r>
      <w:r>
        <w:rPr>
          <w:sz w:val="22"/>
          <w:lang w:val="en-US"/>
        </w:rPr>
        <w:t xml:space="preserve"> [1]</w:t>
      </w:r>
      <w:r w:rsidRPr="002C75B8">
        <w:rPr>
          <w:sz w:val="22"/>
          <w:lang w:val="en-US"/>
        </w:rPr>
        <w:t xml:space="preserve">. It is a </w:t>
      </w:r>
      <w:r>
        <w:rPr>
          <w:sz w:val="22"/>
          <w:lang w:val="en-US"/>
        </w:rPr>
        <w:t xml:space="preserve">highly </w:t>
      </w:r>
      <w:r w:rsidRPr="002C75B8">
        <w:rPr>
          <w:sz w:val="22"/>
          <w:lang w:val="en-US"/>
        </w:rPr>
        <w:t xml:space="preserve">neglected disease. There are an estimated 50,000 cases yearly, but only 450 cases were reported in 2008. There are three clinical forms of </w:t>
      </w:r>
      <w:r>
        <w:rPr>
          <w:sz w:val="22"/>
          <w:lang w:val="en-US"/>
        </w:rPr>
        <w:t xml:space="preserve">CL </w:t>
      </w:r>
      <w:r w:rsidRPr="002C75B8">
        <w:rPr>
          <w:sz w:val="22"/>
          <w:lang w:val="en-US"/>
        </w:rPr>
        <w:t xml:space="preserve">in Ethiopia: localized </w:t>
      </w:r>
      <w:r>
        <w:rPr>
          <w:sz w:val="22"/>
          <w:lang w:val="en-US"/>
        </w:rPr>
        <w:t>CL</w:t>
      </w:r>
      <w:r w:rsidRPr="002C75B8">
        <w:rPr>
          <w:sz w:val="22"/>
          <w:lang w:val="en-US"/>
        </w:rPr>
        <w:t xml:space="preserve">, mucosal leishmaniasis and diffuse cutaneous leishmaniasis (DCL), all mainly caused by </w:t>
      </w:r>
      <w:r w:rsidRPr="002C75B8">
        <w:rPr>
          <w:i/>
          <w:iCs/>
          <w:sz w:val="22"/>
          <w:lang w:val="en-US"/>
        </w:rPr>
        <w:t>L. aethiopica</w:t>
      </w:r>
      <w:r w:rsidRPr="002C75B8">
        <w:rPr>
          <w:sz w:val="22"/>
          <w:lang w:val="en-US"/>
        </w:rPr>
        <w:t>. The first case of DCL was reported in 1960</w:t>
      </w:r>
      <w:r>
        <w:rPr>
          <w:sz w:val="22"/>
          <w:lang w:val="en-US"/>
        </w:rPr>
        <w:t>;</w:t>
      </w:r>
      <w:r w:rsidRPr="002C75B8">
        <w:rPr>
          <w:sz w:val="22"/>
          <w:lang w:val="en-US"/>
        </w:rPr>
        <w:t xml:space="preserve"> currently the incidence of this form is high in the highlands of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Ethiopia</w:t>
          </w:r>
        </w:smartTag>
      </w:smartTag>
      <w:r>
        <w:rPr>
          <w:sz w:val="22"/>
          <w:lang w:val="en-US"/>
        </w:rPr>
        <w:t xml:space="preserve"> [2]</w:t>
      </w:r>
      <w:r w:rsidRPr="002C75B8">
        <w:rPr>
          <w:sz w:val="22"/>
          <w:lang w:val="en-US"/>
        </w:rPr>
        <w:t>. CL is most common in children, with the highest prevalence occurring between 10 and 15 years of age.</w:t>
      </w:r>
    </w:p>
    <w:p w:rsidR="00560305" w:rsidRPr="002C75B8" w:rsidRDefault="00560305" w:rsidP="00560305">
      <w:pPr>
        <w:ind w:left="0" w:firstLine="0"/>
        <w:rPr>
          <w:sz w:val="22"/>
          <w:lang w:val="en-US"/>
        </w:rPr>
      </w:pPr>
    </w:p>
    <w:p w:rsidR="00560305" w:rsidRPr="002C75B8" w:rsidRDefault="00560305" w:rsidP="00560305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Several outbreaks occurred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Ethiopia</w:t>
          </w:r>
        </w:smartTag>
      </w:smartTag>
      <w:r w:rsidRPr="002C75B8">
        <w:rPr>
          <w:sz w:val="22"/>
          <w:lang w:val="en-US"/>
        </w:rPr>
        <w:t xml:space="preserve"> in the last 5 years. Between 2005 and 2008, an outbreak of VL occurred in </w:t>
      </w:r>
      <w:proofErr w:type="spellStart"/>
      <w:r w:rsidRPr="002C75B8">
        <w:rPr>
          <w:sz w:val="22"/>
          <w:lang w:val="en-US"/>
        </w:rPr>
        <w:t>Amhara</w:t>
      </w:r>
      <w:proofErr w:type="spellEnd"/>
      <w:r w:rsidRPr="002C75B8">
        <w:rPr>
          <w:sz w:val="22"/>
          <w:lang w:val="en-US"/>
        </w:rPr>
        <w:t xml:space="preserve"> Region (</w:t>
      </w:r>
      <w:proofErr w:type="spellStart"/>
      <w:r w:rsidRPr="002C75B8">
        <w:rPr>
          <w:sz w:val="22"/>
          <w:lang w:val="en-US"/>
        </w:rPr>
        <w:t>Libo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Kemke</w:t>
      </w:r>
      <w:r>
        <w:rPr>
          <w:sz w:val="22"/>
          <w:lang w:val="en-US"/>
        </w:rPr>
        <w:t>m</w:t>
      </w:r>
      <w:proofErr w:type="spellEnd"/>
      <w:r w:rsidRPr="002C75B8">
        <w:rPr>
          <w:sz w:val="22"/>
          <w:lang w:val="en-US"/>
        </w:rPr>
        <w:t xml:space="preserve">), where VL </w:t>
      </w:r>
      <w:r>
        <w:rPr>
          <w:sz w:val="22"/>
          <w:lang w:val="en-US"/>
        </w:rPr>
        <w:t>had</w:t>
      </w:r>
      <w:r w:rsidRPr="002C75B8">
        <w:rPr>
          <w:sz w:val="22"/>
          <w:lang w:val="en-US"/>
        </w:rPr>
        <w:t xml:space="preserve"> not </w:t>
      </w:r>
      <w:r>
        <w:rPr>
          <w:sz w:val="22"/>
          <w:lang w:val="en-US"/>
        </w:rPr>
        <w:t xml:space="preserve">been </w:t>
      </w:r>
      <w:r w:rsidRPr="002C75B8">
        <w:rPr>
          <w:sz w:val="22"/>
          <w:lang w:val="en-US"/>
        </w:rPr>
        <w:t>reported before, with 2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500 cases and </w:t>
      </w:r>
      <w:r>
        <w:rPr>
          <w:sz w:val="22"/>
          <w:lang w:val="en-US"/>
        </w:rPr>
        <w:t xml:space="preserve">initially </w:t>
      </w:r>
      <w:r w:rsidRPr="002C75B8">
        <w:rPr>
          <w:sz w:val="22"/>
          <w:lang w:val="en-US"/>
        </w:rPr>
        <w:t>a very high mortality</w:t>
      </w:r>
      <w:r>
        <w:rPr>
          <w:sz w:val="22"/>
          <w:lang w:val="en-US"/>
        </w:rPr>
        <w:t xml:space="preserve"> [3]</w:t>
      </w:r>
      <w:r w:rsidRPr="002C75B8">
        <w:rPr>
          <w:sz w:val="22"/>
          <w:lang w:val="en-US"/>
        </w:rPr>
        <w:t xml:space="preserve">. The disease was </w:t>
      </w:r>
      <w:r>
        <w:rPr>
          <w:sz w:val="22"/>
          <w:lang w:val="en-US"/>
        </w:rPr>
        <w:t>probably</w:t>
      </w:r>
      <w:r w:rsidRPr="002C75B8">
        <w:rPr>
          <w:sz w:val="22"/>
          <w:lang w:val="en-US"/>
        </w:rPr>
        <w:t xml:space="preserve"> imported from the endemic areas in </w:t>
      </w:r>
      <w:proofErr w:type="spellStart"/>
      <w:r w:rsidRPr="002C75B8">
        <w:rPr>
          <w:sz w:val="22"/>
          <w:lang w:val="en-US"/>
        </w:rPr>
        <w:t>Humera</w:t>
      </w:r>
      <w:proofErr w:type="spellEnd"/>
      <w:r w:rsidRPr="002C75B8">
        <w:rPr>
          <w:sz w:val="22"/>
          <w:lang w:val="en-US"/>
        </w:rPr>
        <w:t xml:space="preserve"> an</w:t>
      </w:r>
      <w:r>
        <w:rPr>
          <w:sz w:val="22"/>
          <w:lang w:val="en-US"/>
        </w:rPr>
        <w:t xml:space="preserve">d </w:t>
      </w:r>
      <w:proofErr w:type="spellStart"/>
      <w:r>
        <w:rPr>
          <w:sz w:val="22"/>
          <w:lang w:val="en-US"/>
        </w:rPr>
        <w:t>Metema</w:t>
      </w:r>
      <w:proofErr w:type="spellEnd"/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[4].</w:t>
      </w:r>
      <w:r w:rsidRPr="002C75B8">
        <w:rPr>
          <w:sz w:val="22"/>
          <w:lang w:val="en-US"/>
        </w:rPr>
        <w:t xml:space="preserve"> An outbreak of 300 CL cases took place in </w:t>
      </w:r>
      <w:proofErr w:type="spellStart"/>
      <w:r w:rsidRPr="002C75B8">
        <w:rPr>
          <w:sz w:val="22"/>
          <w:lang w:val="en-US"/>
        </w:rPr>
        <w:t>Silti</w:t>
      </w:r>
      <w:proofErr w:type="spellEnd"/>
      <w:r w:rsidRPr="002C75B8">
        <w:rPr>
          <w:sz w:val="22"/>
          <w:lang w:val="en-US"/>
        </w:rPr>
        <w:t xml:space="preserve"> district between 2003 and 2005</w:t>
      </w:r>
      <w:r>
        <w:rPr>
          <w:sz w:val="22"/>
          <w:lang w:val="en-US"/>
        </w:rPr>
        <w:t xml:space="preserve"> [5]</w:t>
      </w:r>
      <w:r w:rsidRPr="002C75B8">
        <w:rPr>
          <w:sz w:val="22"/>
          <w:lang w:val="en-US"/>
        </w:rPr>
        <w:t xml:space="preserve">. In 2010, 30 cases of VL formed the beginning of an </w:t>
      </w:r>
      <w:r w:rsidRPr="002C75B8">
        <w:rPr>
          <w:sz w:val="22"/>
          <w:lang w:val="en-US"/>
        </w:rPr>
        <w:lastRenderedPageBreak/>
        <w:t xml:space="preserve">outbreak in a formerly non-endemic area in </w:t>
      </w:r>
      <w:proofErr w:type="spellStart"/>
      <w:r w:rsidRPr="002C75B8">
        <w:rPr>
          <w:sz w:val="22"/>
          <w:lang w:val="en-US"/>
        </w:rPr>
        <w:t>Tigray</w:t>
      </w:r>
      <w:proofErr w:type="spellEnd"/>
      <w:r w:rsidRPr="002C75B8">
        <w:rPr>
          <w:sz w:val="22"/>
          <w:lang w:val="en-US"/>
        </w:rPr>
        <w:t xml:space="preserve"> (</w:t>
      </w:r>
      <w:proofErr w:type="spellStart"/>
      <w:r w:rsidRPr="002C75B8">
        <w:rPr>
          <w:sz w:val="22"/>
          <w:lang w:val="en-US"/>
        </w:rPr>
        <w:t>Shiraro</w:t>
      </w:r>
      <w:proofErr w:type="spellEnd"/>
      <w:r w:rsidRPr="002C75B8">
        <w:rPr>
          <w:sz w:val="22"/>
          <w:lang w:val="en-US"/>
        </w:rPr>
        <w:t xml:space="preserve"> district), and 40 VL cases more, mainly children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were diagnosed in </w:t>
      </w:r>
      <w:smartTag w:uri="urn:schemas-microsoft-com:office:smarttags" w:element="place">
        <w:r w:rsidRPr="002C75B8">
          <w:rPr>
            <w:sz w:val="22"/>
            <w:lang w:val="en-US"/>
          </w:rPr>
          <w:t xml:space="preserve">East </w:t>
        </w:r>
        <w:proofErr w:type="spellStart"/>
        <w:r w:rsidRPr="002C75B8">
          <w:rPr>
            <w:sz w:val="22"/>
            <w:lang w:val="en-US"/>
          </w:rPr>
          <w:t>Imey</w:t>
        </w:r>
      </w:smartTag>
      <w:proofErr w:type="spellEnd"/>
      <w:r w:rsidRPr="002C75B8">
        <w:rPr>
          <w:sz w:val="22"/>
          <w:lang w:val="en-US"/>
        </w:rPr>
        <w:t>, a district in Somali region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previously non endemic.</w:t>
      </w:r>
    </w:p>
    <w:p w:rsidR="00560305" w:rsidRPr="002C75B8" w:rsidRDefault="00560305" w:rsidP="00560305">
      <w:pPr>
        <w:ind w:left="0" w:firstLine="0"/>
        <w:rPr>
          <w:sz w:val="22"/>
          <w:lang w:val="en-US"/>
        </w:rPr>
      </w:pPr>
    </w:p>
    <w:p w:rsidR="00560305" w:rsidRPr="002C75B8" w:rsidRDefault="00560305" w:rsidP="00560305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The incidence of HIV-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coinfection </w:t>
      </w:r>
      <w:r>
        <w:rPr>
          <w:sz w:val="22"/>
          <w:lang w:val="en-US"/>
        </w:rPr>
        <w:t xml:space="preserve">was 23% in 2008, </w:t>
      </w:r>
      <w:r w:rsidRPr="002C75B8">
        <w:rPr>
          <w:sz w:val="22"/>
          <w:lang w:val="en-US"/>
        </w:rPr>
        <w:t>far higher than anywhere else in the world. The real burden is likely to be higher, as only 17% of VL cases are screened for HIV</w:t>
      </w:r>
      <w:r>
        <w:rPr>
          <w:sz w:val="22"/>
          <w:lang w:val="en-US"/>
        </w:rPr>
        <w:t xml:space="preserve"> in some facilities</w:t>
      </w:r>
      <w:r w:rsidRPr="002C75B8">
        <w:rPr>
          <w:sz w:val="22"/>
          <w:lang w:val="en-US"/>
        </w:rPr>
        <w:t xml:space="preserve">. The affected populations are mainly very poor male seasonal migrant workers that travel </w:t>
      </w:r>
      <w:r>
        <w:rPr>
          <w:sz w:val="22"/>
          <w:lang w:val="en-US"/>
        </w:rPr>
        <w:t xml:space="preserve">in </w:t>
      </w:r>
      <w:r w:rsidRPr="002C75B8">
        <w:rPr>
          <w:sz w:val="22"/>
          <w:lang w:val="en-US"/>
        </w:rPr>
        <w:t xml:space="preserve">the harvesting season from non endemic highlands to the cotton, sesame and sorghum fields of </w:t>
      </w:r>
      <w:proofErr w:type="spellStart"/>
      <w:r w:rsidRPr="002C75B8">
        <w:rPr>
          <w:sz w:val="22"/>
          <w:lang w:val="en-US"/>
        </w:rPr>
        <w:t>Humera</w:t>
      </w:r>
      <w:proofErr w:type="spellEnd"/>
      <w:r w:rsidRPr="002C75B8">
        <w:rPr>
          <w:sz w:val="22"/>
          <w:lang w:val="en-US"/>
        </w:rPr>
        <w:t xml:space="preserve"> and </w:t>
      </w:r>
      <w:proofErr w:type="spellStart"/>
      <w:r w:rsidRPr="002C75B8">
        <w:rPr>
          <w:sz w:val="22"/>
          <w:lang w:val="en-US"/>
        </w:rPr>
        <w:t>Metema</w:t>
      </w:r>
      <w:proofErr w:type="spellEnd"/>
      <w:r w:rsidRPr="002C75B8">
        <w:rPr>
          <w:sz w:val="22"/>
          <w:lang w:val="en-US"/>
        </w:rPr>
        <w:t xml:space="preserve"> on the Sudanese border</w:t>
      </w:r>
      <w:r>
        <w:rPr>
          <w:sz w:val="22"/>
          <w:lang w:val="en-US"/>
        </w:rPr>
        <w:t xml:space="preserve"> [6</w:t>
      </w:r>
      <w:proofErr w:type="gramStart"/>
      <w:r>
        <w:rPr>
          <w:sz w:val="22"/>
          <w:lang w:val="en-US"/>
        </w:rPr>
        <w:t>,7</w:t>
      </w:r>
      <w:proofErr w:type="gramEnd"/>
      <w:r>
        <w:rPr>
          <w:sz w:val="22"/>
          <w:lang w:val="en-US"/>
        </w:rPr>
        <w:t>]</w:t>
      </w:r>
      <w:r w:rsidRPr="002C75B8">
        <w:rPr>
          <w:sz w:val="22"/>
          <w:lang w:val="en-US"/>
        </w:rPr>
        <w:t xml:space="preserve">. </w:t>
      </w:r>
      <w:r>
        <w:rPr>
          <w:sz w:val="22"/>
          <w:lang w:val="en-US"/>
        </w:rPr>
        <w:t xml:space="preserve">In </w:t>
      </w:r>
      <w:proofErr w:type="spellStart"/>
      <w:r>
        <w:rPr>
          <w:sz w:val="22"/>
          <w:lang w:val="en-US"/>
        </w:rPr>
        <w:t>Humera</w:t>
      </w:r>
      <w:proofErr w:type="spellEnd"/>
      <w:r>
        <w:rPr>
          <w:sz w:val="22"/>
          <w:lang w:val="en-US"/>
        </w:rPr>
        <w:t xml:space="preserve">, the proportion of VL patients that was coinfected was 40% in 2006 [6].  </w:t>
      </w:r>
    </w:p>
    <w:p w:rsidR="00560305" w:rsidRPr="002C75B8" w:rsidRDefault="00560305" w:rsidP="00560305">
      <w:pPr>
        <w:ind w:left="0" w:firstLine="0"/>
        <w:rPr>
          <w:sz w:val="22"/>
          <w:lang w:val="en-US"/>
        </w:rPr>
      </w:pPr>
    </w:p>
    <w:p w:rsidR="00560305" w:rsidRPr="002C75B8" w:rsidRDefault="00560305" w:rsidP="00560305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PKDL seems to occur in varying rates within different regions and patient populations. PKDL is reported in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2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2% of patients, but this figure does not represent the real number of cases as PKDL grade 1 cases are not treated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and consequently not reported.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In coinfected patients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PKDL is seen in 15-40% of patients. </w:t>
      </w:r>
    </w:p>
    <w:p w:rsidR="00560305" w:rsidRPr="00984ED5" w:rsidRDefault="00560305" w:rsidP="00560305">
      <w:pPr>
        <w:rPr>
          <w:sz w:val="22"/>
          <w:lang w:val="en-GB"/>
        </w:rPr>
      </w:pPr>
    </w:p>
    <w:p w:rsidR="00560305" w:rsidRPr="00984ED5" w:rsidRDefault="00560305" w:rsidP="00560305">
      <w:pPr>
        <w:rPr>
          <w:sz w:val="22"/>
          <w:lang w:val="en-GB"/>
        </w:rPr>
      </w:pPr>
    </w:p>
    <w:p w:rsidR="00560305" w:rsidRPr="00984ED5" w:rsidRDefault="00560305" w:rsidP="00560305">
      <w:pPr>
        <w:rPr>
          <w:b/>
          <w:bCs/>
          <w:sz w:val="22"/>
          <w:lang w:val="en-GB"/>
        </w:rPr>
      </w:pPr>
      <w:r w:rsidRPr="00984ED5">
        <w:rPr>
          <w:b/>
          <w:bCs/>
          <w:sz w:val="22"/>
          <w:lang w:val="en-GB"/>
        </w:rPr>
        <w:t>PARASITOLOGICAL INFORMATION</w:t>
      </w:r>
    </w:p>
    <w:p w:rsidR="00560305" w:rsidRDefault="00560305" w:rsidP="00560305">
      <w:pPr>
        <w:rPr>
          <w:b/>
          <w:bCs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1712"/>
        <w:gridCol w:w="2452"/>
        <w:gridCol w:w="2182"/>
      </w:tblGrid>
      <w:tr w:rsidR="00560305" w:rsidRPr="002C75B8" w:rsidTr="00A7768B">
        <w:tc>
          <w:tcPr>
            <w:tcW w:w="2176" w:type="dxa"/>
            <w:vAlign w:val="center"/>
          </w:tcPr>
          <w:p w:rsidR="00560305" w:rsidRPr="002C75B8" w:rsidRDefault="00560305" w:rsidP="00A7768B">
            <w:pPr>
              <w:ind w:left="0" w:firstLine="0"/>
              <w:jc w:val="center"/>
              <w:rPr>
                <w:b/>
                <w:bCs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712" w:type="dxa"/>
            <w:vAlign w:val="center"/>
          </w:tcPr>
          <w:p w:rsidR="00560305" w:rsidRPr="002C75B8" w:rsidRDefault="00560305" w:rsidP="00A7768B">
            <w:pPr>
              <w:ind w:left="0" w:firstLine="0"/>
              <w:jc w:val="center"/>
              <w:rPr>
                <w:b/>
                <w:bCs/>
              </w:rPr>
            </w:pPr>
          </w:p>
          <w:p w:rsidR="00560305" w:rsidRPr="002C75B8" w:rsidRDefault="00560305" w:rsidP="00A7768B">
            <w:pPr>
              <w:ind w:left="0" w:firstLine="0"/>
              <w:jc w:val="center"/>
              <w:rPr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452" w:type="dxa"/>
            <w:vAlign w:val="center"/>
          </w:tcPr>
          <w:p w:rsidR="00560305" w:rsidRPr="002C75B8" w:rsidRDefault="00560305" w:rsidP="00A7768B">
            <w:pPr>
              <w:ind w:left="0" w:firstLine="0"/>
              <w:jc w:val="center"/>
              <w:rPr>
                <w:b/>
                <w:bCs/>
              </w:rPr>
            </w:pPr>
          </w:p>
          <w:p w:rsidR="00560305" w:rsidRPr="002C75B8" w:rsidRDefault="00560305" w:rsidP="00A7768B">
            <w:pPr>
              <w:ind w:left="0" w:firstLine="0"/>
              <w:jc w:val="center"/>
              <w:rPr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182" w:type="dxa"/>
            <w:vAlign w:val="center"/>
          </w:tcPr>
          <w:p w:rsidR="00560305" w:rsidRPr="002C75B8" w:rsidRDefault="00560305" w:rsidP="00A7768B">
            <w:pPr>
              <w:ind w:left="0" w:firstLine="0"/>
              <w:jc w:val="center"/>
              <w:rPr>
                <w:b/>
                <w:bCs/>
              </w:rPr>
            </w:pPr>
          </w:p>
          <w:p w:rsidR="00560305" w:rsidRPr="002C75B8" w:rsidRDefault="00560305" w:rsidP="00A7768B">
            <w:pPr>
              <w:ind w:left="0" w:firstLine="0"/>
              <w:jc w:val="center"/>
              <w:rPr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560305" w:rsidRPr="002C75B8" w:rsidTr="00A7768B">
        <w:tc>
          <w:tcPr>
            <w:tcW w:w="2176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i/>
                <w:iCs/>
                <w:color w:val="000000"/>
                <w:sz w:val="22"/>
                <w:lang w:val="en-US"/>
              </w:rPr>
              <w:t>L. aethiopica</w:t>
            </w:r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color w:val="000000"/>
                <w:sz w:val="22"/>
                <w:lang w:val="en-US"/>
              </w:rPr>
              <w:t>ZCL, DCL, ML</w:t>
            </w:r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560305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i/>
                <w:iCs/>
                <w:color w:val="000000"/>
                <w:sz w:val="22"/>
                <w:lang w:val="pt-BR"/>
              </w:rPr>
            </w:pPr>
            <w:r w:rsidRPr="00A068A7">
              <w:rPr>
                <w:i/>
                <w:iCs/>
                <w:color w:val="000000"/>
                <w:sz w:val="22"/>
                <w:lang w:val="pt-BR"/>
              </w:rPr>
              <w:t>P. longipes,</w:t>
            </w:r>
          </w:p>
          <w:p w:rsidR="00560305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i/>
                <w:iCs/>
                <w:color w:val="000000"/>
                <w:sz w:val="22"/>
                <w:lang w:val="pt-BR"/>
              </w:rPr>
            </w:pPr>
            <w:r w:rsidRPr="00A068A7">
              <w:rPr>
                <w:i/>
                <w:iCs/>
                <w:color w:val="000000"/>
                <w:sz w:val="22"/>
                <w:lang w:val="pt-BR"/>
              </w:rPr>
              <w:t xml:space="preserve">P. pedifer*, </w:t>
            </w:r>
          </w:p>
          <w:p w:rsidR="00560305" w:rsidRPr="001B5A4E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pt-BR"/>
              </w:rPr>
            </w:pPr>
            <w:r w:rsidRPr="00A068A7">
              <w:rPr>
                <w:i/>
                <w:iCs/>
                <w:color w:val="000000"/>
                <w:sz w:val="22"/>
                <w:lang w:val="pt-BR"/>
              </w:rPr>
              <w:t>P. sergenti</w:t>
            </w:r>
          </w:p>
          <w:p w:rsidR="00560305" w:rsidRPr="001B5A4E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82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proofErr w:type="spellStart"/>
            <w:r w:rsidRPr="00A068A7">
              <w:rPr>
                <w:i/>
                <w:iCs/>
                <w:color w:val="000000"/>
                <w:sz w:val="22"/>
                <w:lang w:val="es-ES_tradnl"/>
              </w:rPr>
              <w:t>Procavia</w:t>
            </w:r>
            <w:proofErr w:type="spellEnd"/>
            <w:r w:rsidRPr="00A068A7">
              <w:rPr>
                <w:i/>
                <w:iCs/>
                <w:color w:val="000000"/>
                <w:sz w:val="22"/>
                <w:lang w:val="es-ES_tradnl"/>
              </w:rPr>
              <w:t xml:space="preserve">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es-ES_tradnl"/>
              </w:rPr>
              <w:t>capensis</w:t>
            </w:r>
            <w:proofErr w:type="spellEnd"/>
            <w:r w:rsidRPr="00A068A7">
              <w:rPr>
                <w:i/>
                <w:iCs/>
                <w:color w:val="000000"/>
                <w:sz w:val="22"/>
                <w:lang w:val="es-ES_tradnl"/>
              </w:rPr>
              <w:t xml:space="preserve">,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es-ES_tradnl"/>
              </w:rPr>
              <w:t>Heterohyrax</w:t>
            </w:r>
            <w:proofErr w:type="spellEnd"/>
            <w:r w:rsidRPr="00A068A7">
              <w:rPr>
                <w:i/>
                <w:iCs/>
                <w:color w:val="000000"/>
                <w:sz w:val="22"/>
                <w:lang w:val="es-ES_tradnl"/>
              </w:rPr>
              <w:t xml:space="preserve">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es-ES_tradnl"/>
              </w:rPr>
              <w:t>brucei</w:t>
            </w:r>
            <w:proofErr w:type="spellEnd"/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305" w:rsidRPr="002C75B8" w:rsidTr="00A7768B">
        <w:tc>
          <w:tcPr>
            <w:tcW w:w="2176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i/>
                <w:iCs/>
                <w:color w:val="000000"/>
                <w:sz w:val="22"/>
                <w:lang w:val="en-US"/>
              </w:rPr>
              <w:t xml:space="preserve">L. major  </w:t>
            </w:r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color w:val="000000"/>
                <w:sz w:val="22"/>
                <w:lang w:val="en-US"/>
              </w:rPr>
              <w:t>ZCL</w:t>
            </w:r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i/>
                <w:iCs/>
                <w:color w:val="000000"/>
                <w:sz w:val="22"/>
                <w:lang w:val="en-US"/>
              </w:rPr>
              <w:t xml:space="preserve">P.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en-US"/>
              </w:rPr>
              <w:t>dubosqui</w:t>
            </w:r>
            <w:proofErr w:type="spellEnd"/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proofErr w:type="spellStart"/>
            <w:r w:rsidRPr="00A068A7">
              <w:rPr>
                <w:i/>
                <w:iCs/>
                <w:color w:val="000000"/>
                <w:sz w:val="22"/>
                <w:lang w:val="en-US"/>
              </w:rPr>
              <w:t>Arvicanthis</w:t>
            </w:r>
            <w:proofErr w:type="spellEnd"/>
            <w:r w:rsidRPr="00A068A7">
              <w:rPr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en-US"/>
              </w:rPr>
              <w:t>niloticus</w:t>
            </w:r>
            <w:proofErr w:type="spellEnd"/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</w:tr>
      <w:tr w:rsidR="00560305" w:rsidRPr="002C75B8" w:rsidTr="00A7768B">
        <w:tc>
          <w:tcPr>
            <w:tcW w:w="2176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i/>
                <w:iCs/>
                <w:color w:val="000000"/>
                <w:sz w:val="22"/>
                <w:lang w:val="en-US"/>
              </w:rPr>
              <w:t>L. tropica</w:t>
            </w:r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color w:val="000000"/>
                <w:sz w:val="22"/>
                <w:lang w:val="en-US"/>
              </w:rPr>
              <w:t>CL</w:t>
            </w:r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i/>
                <w:iCs/>
                <w:color w:val="000000"/>
                <w:sz w:val="22"/>
                <w:lang w:val="pt-BR"/>
              </w:rPr>
            </w:pPr>
            <w:r w:rsidRPr="00A068A7">
              <w:rPr>
                <w:i/>
                <w:iCs/>
                <w:color w:val="000000"/>
                <w:sz w:val="22"/>
                <w:lang w:val="pt-BR"/>
              </w:rPr>
              <w:t xml:space="preserve">P. sergenti, </w:t>
            </w:r>
          </w:p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i/>
                <w:iCs/>
                <w:color w:val="000000"/>
                <w:sz w:val="22"/>
                <w:lang w:val="pt-BR"/>
              </w:rPr>
              <w:t>P. saeveus</w:t>
            </w:r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</w:tr>
      <w:tr w:rsidR="00560305" w:rsidRPr="002C75B8" w:rsidTr="00A7768B">
        <w:tc>
          <w:tcPr>
            <w:tcW w:w="2176" w:type="dxa"/>
            <w:vAlign w:val="center"/>
          </w:tcPr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  <w:r w:rsidRPr="00A068A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/>
              </w:rPr>
              <w:t>L. donovani</w:t>
            </w:r>
          </w:p>
        </w:tc>
        <w:tc>
          <w:tcPr>
            <w:tcW w:w="1712" w:type="dxa"/>
            <w:vAlign w:val="center"/>
          </w:tcPr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color w:val="000000"/>
                <w:sz w:val="22"/>
                <w:lang w:val="pt-BR"/>
              </w:rPr>
              <w:t>VL, PKDL</w:t>
            </w:r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560305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i/>
                <w:iCs/>
                <w:color w:val="000000"/>
                <w:sz w:val="22"/>
                <w:lang w:val="fr-FR"/>
              </w:rPr>
            </w:pPr>
            <w:r w:rsidRPr="00A068A7">
              <w:rPr>
                <w:i/>
                <w:iCs/>
                <w:color w:val="000000"/>
                <w:sz w:val="22"/>
                <w:lang w:val="fr-FR"/>
              </w:rPr>
              <w:t xml:space="preserve">P.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fr-FR"/>
              </w:rPr>
              <w:t>orientalis</w:t>
            </w:r>
            <w:proofErr w:type="spellEnd"/>
            <w:r w:rsidRPr="00A068A7">
              <w:rPr>
                <w:i/>
                <w:iCs/>
                <w:color w:val="000000"/>
                <w:sz w:val="22"/>
                <w:lang w:val="fr-FR"/>
              </w:rPr>
              <w:t xml:space="preserve">, </w:t>
            </w:r>
          </w:p>
          <w:p w:rsidR="00560305" w:rsidRPr="00A068A7" w:rsidRDefault="00560305" w:rsidP="00A7768B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  <w:sz w:val="22"/>
                <w:lang w:val="en-US"/>
              </w:rPr>
            </w:pPr>
            <w:r w:rsidRPr="00A068A7">
              <w:rPr>
                <w:i/>
                <w:iCs/>
                <w:color w:val="000000"/>
                <w:sz w:val="22"/>
                <w:lang w:val="fr-FR"/>
              </w:rPr>
              <w:t xml:space="preserve">P. martini, h.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fr-FR"/>
              </w:rPr>
              <w:t>celiae</w:t>
            </w:r>
            <w:proofErr w:type="spellEnd"/>
          </w:p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560305" w:rsidRPr="00A068A7" w:rsidRDefault="00560305" w:rsidP="00A7768B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</w:p>
        </w:tc>
      </w:tr>
    </w:tbl>
    <w:p w:rsidR="00560305" w:rsidRDefault="00560305" w:rsidP="00560305">
      <w:pPr>
        <w:rPr>
          <w:b/>
          <w:bCs/>
          <w:sz w:val="22"/>
          <w:lang w:val="en-GB"/>
        </w:rPr>
      </w:pPr>
    </w:p>
    <w:p w:rsidR="00560305" w:rsidRPr="00984ED5" w:rsidRDefault="00560305" w:rsidP="00560305">
      <w:pPr>
        <w:rPr>
          <w:b/>
          <w:bCs/>
          <w:sz w:val="22"/>
          <w:lang w:val="en-GB"/>
        </w:rPr>
      </w:pPr>
    </w:p>
    <w:p w:rsidR="00560305" w:rsidRDefault="00560305" w:rsidP="00560305">
      <w:pPr>
        <w:rPr>
          <w:b/>
          <w:bCs/>
          <w:sz w:val="22"/>
        </w:rPr>
      </w:pPr>
      <w:r>
        <w:rPr>
          <w:b/>
          <w:bCs/>
          <w:sz w:val="22"/>
        </w:rPr>
        <w:t>MAPS AND TRENDS</w:t>
      </w:r>
    </w:p>
    <w:p w:rsidR="00560305" w:rsidRDefault="00560305" w:rsidP="00560305">
      <w:pPr>
        <w:rPr>
          <w:b/>
          <w:bCs/>
          <w:sz w:val="22"/>
        </w:rPr>
      </w:pPr>
    </w:p>
    <w:p w:rsidR="00560305" w:rsidRDefault="00560305" w:rsidP="00560305">
      <w:pPr>
        <w:rPr>
          <w:b/>
          <w:bCs/>
          <w:sz w:val="22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151130</wp:posOffset>
            </wp:positionV>
            <wp:extent cx="3517265" cy="2487295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</w:rPr>
        <w:t>Visceral leishmaniasis</w:t>
      </w:r>
    </w:p>
    <w:p w:rsidR="00560305" w:rsidRDefault="00560305" w:rsidP="00560305">
      <w:pPr>
        <w:rPr>
          <w:b/>
          <w:bCs/>
          <w:sz w:val="22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104775</wp:posOffset>
            </wp:positionV>
            <wp:extent cx="3420745" cy="2418715"/>
            <wp:effectExtent l="1905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305" w:rsidRPr="00B20F08" w:rsidRDefault="00560305" w:rsidP="00560305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Pr="00B20F08">
        <w:rPr>
          <w:b/>
          <w:bCs/>
          <w:sz w:val="22"/>
        </w:rPr>
        <w:lastRenderedPageBreak/>
        <w:t>Cutaneous leishmaniasis</w:t>
      </w:r>
    </w:p>
    <w:p w:rsidR="00560305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  <w:r>
        <w:rPr>
          <w:b/>
          <w:bCs/>
          <w:noProof/>
          <w:sz w:val="22"/>
          <w:lang w:val="en-US"/>
        </w:rPr>
        <w:drawing>
          <wp:inline distT="0" distB="0" distL="0" distR="0">
            <wp:extent cx="3657600" cy="2592070"/>
            <wp:effectExtent l="19050" t="0" r="0" b="0"/>
            <wp:docPr id="2" name="Picture 2" descr="ETCLav_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CLav_b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lang w:val="es-ES"/>
        </w:rPr>
        <w:t xml:space="preserve">    </w:t>
      </w:r>
    </w:p>
    <w:p w:rsidR="00560305" w:rsidRPr="00C3718B" w:rsidRDefault="00560305" w:rsidP="00560305">
      <w:pPr>
        <w:rPr>
          <w:b/>
          <w:bCs/>
          <w:sz w:val="22"/>
          <w:lang w:val="es-ES"/>
        </w:rPr>
      </w:pPr>
      <w:r w:rsidRPr="00C3718B">
        <w:rPr>
          <w:b/>
          <w:bCs/>
          <w:sz w:val="22"/>
          <w:lang w:val="es-ES"/>
        </w:rPr>
        <w:t xml:space="preserve">Visceral leishmaniasis </w:t>
      </w:r>
      <w:proofErr w:type="spellStart"/>
      <w:r w:rsidRPr="00C3718B">
        <w:rPr>
          <w:b/>
          <w:bCs/>
          <w:sz w:val="22"/>
          <w:lang w:val="es-ES"/>
        </w:rPr>
        <w:t>trend</w:t>
      </w:r>
      <w:proofErr w:type="spellEnd"/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5315585" cy="240030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b/>
          <w:bCs/>
          <w:sz w:val="22"/>
          <w:lang w:val="es-ES"/>
        </w:rPr>
      </w:pPr>
    </w:p>
    <w:p w:rsidR="00560305" w:rsidRPr="00C3718B" w:rsidRDefault="00560305" w:rsidP="00560305">
      <w:pPr>
        <w:rPr>
          <w:lang w:val="es-ES" w:eastAsia="es-ES"/>
        </w:rPr>
      </w:pPr>
    </w:p>
    <w:p w:rsidR="00560305" w:rsidRPr="00C3718B" w:rsidRDefault="00560305" w:rsidP="00560305">
      <w:pPr>
        <w:rPr>
          <w:lang w:val="es-ES" w:eastAsia="es-ES"/>
        </w:rPr>
      </w:pPr>
    </w:p>
    <w:p w:rsidR="00560305" w:rsidRPr="00C3718B" w:rsidRDefault="00560305" w:rsidP="00560305">
      <w:pPr>
        <w:rPr>
          <w:lang w:val="es-ES" w:eastAsia="es-ES"/>
        </w:rPr>
      </w:pPr>
    </w:p>
    <w:p w:rsidR="00560305" w:rsidRPr="00C3718B" w:rsidRDefault="00560305" w:rsidP="00560305">
      <w:pPr>
        <w:ind w:left="0" w:firstLine="0"/>
        <w:rPr>
          <w:lang w:val="es-ES" w:eastAsia="es-ES"/>
        </w:rPr>
      </w:pPr>
    </w:p>
    <w:p w:rsidR="00560305" w:rsidRPr="00C3718B" w:rsidRDefault="00560305" w:rsidP="00560305">
      <w:pPr>
        <w:rPr>
          <w:lang w:val="es-ES" w:eastAsia="es-ES"/>
        </w:rPr>
      </w:pPr>
    </w:p>
    <w:p w:rsidR="00560305" w:rsidRPr="00C3718B" w:rsidRDefault="00560305" w:rsidP="00560305">
      <w:pPr>
        <w:rPr>
          <w:b/>
          <w:bCs/>
          <w:sz w:val="22"/>
          <w:lang w:val="es-ES" w:eastAsia="es-ES"/>
        </w:rPr>
      </w:pPr>
      <w:r w:rsidRPr="00C3718B">
        <w:rPr>
          <w:b/>
          <w:bCs/>
          <w:sz w:val="22"/>
          <w:lang w:val="es-ES" w:eastAsia="es-ES"/>
        </w:rPr>
        <w:t xml:space="preserve">Cutaneous leishmaniasis </w:t>
      </w:r>
      <w:proofErr w:type="spellStart"/>
      <w:r w:rsidRPr="00C3718B">
        <w:rPr>
          <w:b/>
          <w:bCs/>
          <w:sz w:val="22"/>
          <w:lang w:val="es-ES" w:eastAsia="es-ES"/>
        </w:rPr>
        <w:t>trend</w:t>
      </w:r>
      <w:proofErr w:type="spellEnd"/>
    </w:p>
    <w:p w:rsidR="00560305" w:rsidRPr="00C3718B" w:rsidRDefault="00560305" w:rsidP="00560305">
      <w:pPr>
        <w:rPr>
          <w:b/>
          <w:bCs/>
          <w:sz w:val="22"/>
          <w:lang w:val="es-ES" w:eastAsia="es-ES"/>
        </w:rPr>
      </w:pPr>
    </w:p>
    <w:p w:rsidR="00560305" w:rsidRPr="00B20F08" w:rsidRDefault="00560305" w:rsidP="00560305">
      <w:pPr>
        <w:rPr>
          <w:sz w:val="22"/>
          <w:lang w:val="en-GB" w:eastAsia="es-ES"/>
        </w:rPr>
      </w:pPr>
      <w:proofErr w:type="gramStart"/>
      <w:r>
        <w:rPr>
          <w:sz w:val="22"/>
          <w:lang w:val="en-GB" w:eastAsia="es-ES"/>
        </w:rPr>
        <w:t>D</w:t>
      </w:r>
      <w:r w:rsidRPr="00B20F08">
        <w:rPr>
          <w:sz w:val="22"/>
          <w:lang w:val="en-GB" w:eastAsia="es-ES"/>
        </w:rPr>
        <w:t>ata not available</w:t>
      </w:r>
      <w:r>
        <w:rPr>
          <w:sz w:val="22"/>
          <w:lang w:val="en-GB" w:eastAsia="es-ES"/>
        </w:rPr>
        <w:t>.</w:t>
      </w:r>
      <w:proofErr w:type="gramEnd"/>
    </w:p>
    <w:p w:rsidR="00560305" w:rsidRDefault="00560305" w:rsidP="00560305">
      <w:pPr>
        <w:rPr>
          <w:b/>
          <w:bCs/>
          <w:sz w:val="22"/>
          <w:lang w:val="en-GB" w:eastAsia="es-ES"/>
        </w:rPr>
      </w:pPr>
    </w:p>
    <w:p w:rsidR="00560305" w:rsidRDefault="00560305" w:rsidP="00560305">
      <w:pPr>
        <w:rPr>
          <w:b/>
          <w:bCs/>
          <w:sz w:val="22"/>
          <w:lang w:val="en-GB" w:eastAsia="es-ES"/>
        </w:rPr>
      </w:pPr>
    </w:p>
    <w:p w:rsidR="00560305" w:rsidRPr="00984ED5" w:rsidRDefault="00560305" w:rsidP="00560305">
      <w:pPr>
        <w:rPr>
          <w:b/>
          <w:bCs/>
          <w:sz w:val="22"/>
          <w:lang w:val="en-GB" w:eastAsia="es-ES"/>
        </w:rPr>
      </w:pPr>
      <w:r w:rsidRPr="00984ED5">
        <w:rPr>
          <w:b/>
          <w:bCs/>
          <w:sz w:val="22"/>
          <w:lang w:val="en-GB" w:eastAsia="es-ES"/>
        </w:rPr>
        <w:t>CONTROL</w:t>
      </w:r>
    </w:p>
    <w:p w:rsidR="00560305" w:rsidRDefault="00560305" w:rsidP="00560305">
      <w:pPr>
        <w:rPr>
          <w:sz w:val="22"/>
          <w:lang w:val="en-GB" w:eastAsia="es-ES"/>
        </w:rPr>
      </w:pPr>
    </w:p>
    <w:p w:rsidR="00560305" w:rsidRPr="00B20F08" w:rsidRDefault="00560305" w:rsidP="00560305">
      <w:pPr>
        <w:ind w:left="0" w:firstLine="0"/>
        <w:rPr>
          <w:sz w:val="22"/>
          <w:lang w:val="en-US" w:eastAsia="es-ES"/>
        </w:rPr>
      </w:pPr>
      <w:r w:rsidRPr="00B20F08">
        <w:rPr>
          <w:sz w:val="22"/>
          <w:lang w:val="en-US" w:eastAsia="es-ES"/>
        </w:rPr>
        <w:t xml:space="preserve">The notification of leishmaniasis is mandatory and there </w:t>
      </w:r>
      <w:r>
        <w:rPr>
          <w:sz w:val="22"/>
          <w:lang w:val="en-US" w:eastAsia="es-ES"/>
        </w:rPr>
        <w:t>ha</w:t>
      </w:r>
      <w:r w:rsidRPr="00B20F08">
        <w:rPr>
          <w:sz w:val="22"/>
          <w:lang w:val="en-US" w:eastAsia="es-ES"/>
        </w:rPr>
        <w:t>s</w:t>
      </w:r>
      <w:r>
        <w:rPr>
          <w:sz w:val="22"/>
          <w:lang w:val="en-US" w:eastAsia="es-ES"/>
        </w:rPr>
        <w:t xml:space="preserve"> been</w:t>
      </w:r>
      <w:r w:rsidRPr="00B20F08">
        <w:rPr>
          <w:sz w:val="22"/>
          <w:lang w:val="en-US" w:eastAsia="es-ES"/>
        </w:rPr>
        <w:t xml:space="preserve"> a national </w:t>
      </w:r>
      <w:r>
        <w:rPr>
          <w:sz w:val="22"/>
          <w:lang w:val="en-US" w:eastAsia="es-ES"/>
        </w:rPr>
        <w:t>l</w:t>
      </w:r>
      <w:r w:rsidRPr="00B20F08">
        <w:rPr>
          <w:sz w:val="22"/>
          <w:lang w:val="en-US" w:eastAsia="es-ES"/>
        </w:rPr>
        <w:t xml:space="preserve">eishmaniasis control program since 2006. Active human case detection for VL is regularly performed by mobile teams in remote endemic areas. There is no leishmaniasis vector control program. </w:t>
      </w:r>
      <w:proofErr w:type="spellStart"/>
      <w:r w:rsidRPr="00B20F08">
        <w:rPr>
          <w:sz w:val="22"/>
          <w:lang w:val="en-US" w:eastAsia="es-ES"/>
        </w:rPr>
        <w:t>Bednet</w:t>
      </w:r>
      <w:proofErr w:type="spellEnd"/>
      <w:r w:rsidRPr="00B20F08">
        <w:rPr>
          <w:sz w:val="22"/>
          <w:lang w:val="en-US" w:eastAsia="es-ES"/>
        </w:rPr>
        <w:t xml:space="preserve"> distribution and insecticide spraying take place in the context of malaria control. </w:t>
      </w:r>
    </w:p>
    <w:p w:rsidR="00560305" w:rsidRDefault="00560305" w:rsidP="00560305">
      <w:pPr>
        <w:rPr>
          <w:sz w:val="22"/>
          <w:lang w:val="en-US" w:eastAsia="es-ES"/>
        </w:rPr>
      </w:pPr>
    </w:p>
    <w:p w:rsidR="00560305" w:rsidRPr="00B20F08" w:rsidRDefault="00560305" w:rsidP="00560305">
      <w:pPr>
        <w:rPr>
          <w:sz w:val="22"/>
          <w:lang w:val="en-US" w:eastAsia="es-ES"/>
        </w:rPr>
      </w:pPr>
    </w:p>
    <w:p w:rsidR="00560305" w:rsidRDefault="00560305" w:rsidP="00560305">
      <w:pPr>
        <w:spacing w:line="360" w:lineRule="auto"/>
        <w:rPr>
          <w:b/>
          <w:sz w:val="22"/>
          <w:lang w:val="en-US"/>
        </w:rPr>
      </w:pPr>
    </w:p>
    <w:p w:rsidR="00560305" w:rsidRPr="00512E47" w:rsidRDefault="00560305" w:rsidP="00560305">
      <w:pPr>
        <w:spacing w:line="360" w:lineRule="auto"/>
        <w:rPr>
          <w:b/>
          <w:sz w:val="22"/>
          <w:lang w:val="en-US"/>
        </w:rPr>
      </w:pPr>
      <w:r w:rsidRPr="00512E47">
        <w:rPr>
          <w:b/>
          <w:sz w:val="22"/>
          <w:lang w:val="en-US"/>
        </w:rPr>
        <w:lastRenderedPageBreak/>
        <w:t xml:space="preserve">DIAGNOSIS, TREATMENT </w:t>
      </w:r>
    </w:p>
    <w:p w:rsidR="00560305" w:rsidRPr="00B20F08" w:rsidRDefault="00560305" w:rsidP="00560305">
      <w:pPr>
        <w:rPr>
          <w:b/>
          <w:bCs/>
          <w:sz w:val="22"/>
          <w:lang w:val="en-US"/>
        </w:rPr>
      </w:pPr>
      <w:r w:rsidRPr="00B20F08">
        <w:rPr>
          <w:b/>
          <w:bCs/>
          <w:sz w:val="22"/>
          <w:lang w:val="en-US"/>
        </w:rPr>
        <w:t xml:space="preserve">Diagnosis: </w:t>
      </w:r>
    </w:p>
    <w:p w:rsidR="00560305" w:rsidRPr="00EF6EC8" w:rsidRDefault="00560305" w:rsidP="00560305">
      <w:pPr>
        <w:rPr>
          <w:bCs/>
          <w:sz w:val="22"/>
          <w:lang w:val="en-US"/>
        </w:rPr>
      </w:pPr>
      <w:r w:rsidRPr="00EF6EC8">
        <w:rPr>
          <w:bCs/>
          <w:sz w:val="22"/>
          <w:lang w:val="en-US"/>
        </w:rPr>
        <w:t xml:space="preserve">VL: </w:t>
      </w:r>
      <w:r w:rsidRPr="00EF6EC8">
        <w:rPr>
          <w:sz w:val="22"/>
          <w:lang w:val="en-US"/>
        </w:rPr>
        <w:t>confirmation by rK39 ICT.</w:t>
      </w:r>
      <w:r w:rsidRPr="00EF6EC8">
        <w:rPr>
          <w:bCs/>
          <w:sz w:val="22"/>
          <w:lang w:val="en-US"/>
        </w:rPr>
        <w:t xml:space="preserve"> </w:t>
      </w:r>
    </w:p>
    <w:p w:rsidR="00560305" w:rsidRPr="00B20F08" w:rsidRDefault="00560305" w:rsidP="00560305">
      <w:pPr>
        <w:rPr>
          <w:b/>
          <w:bCs/>
          <w:sz w:val="22"/>
          <w:lang w:val="en-US"/>
        </w:rPr>
      </w:pPr>
      <w:r w:rsidRPr="00EF6EC8">
        <w:rPr>
          <w:bCs/>
          <w:sz w:val="22"/>
          <w:lang w:val="en-US"/>
        </w:rPr>
        <w:t xml:space="preserve">CL: </w:t>
      </w:r>
      <w:r w:rsidRPr="00EF6EC8">
        <w:rPr>
          <w:sz w:val="22"/>
          <w:lang w:val="en-US"/>
        </w:rPr>
        <w:t>clinical</w:t>
      </w:r>
      <w:r>
        <w:rPr>
          <w:sz w:val="22"/>
          <w:lang w:val="en-US"/>
        </w:rPr>
        <w:t>,</w:t>
      </w:r>
      <w:r w:rsidRPr="00B20F08">
        <w:rPr>
          <w:sz w:val="22"/>
          <w:lang w:val="en-US"/>
        </w:rPr>
        <w:t xml:space="preserve"> confirmation with microscopic examination of skin lesion sample</w:t>
      </w:r>
      <w:r>
        <w:rPr>
          <w:sz w:val="22"/>
          <w:lang w:val="en-US"/>
        </w:rPr>
        <w:t>.</w:t>
      </w:r>
    </w:p>
    <w:p w:rsidR="00560305" w:rsidRPr="00B20F08" w:rsidRDefault="00560305" w:rsidP="00560305">
      <w:pPr>
        <w:rPr>
          <w:b/>
          <w:bCs/>
          <w:sz w:val="22"/>
          <w:lang w:val="en-US"/>
        </w:rPr>
      </w:pPr>
    </w:p>
    <w:p w:rsidR="00560305" w:rsidRPr="00B20F08" w:rsidRDefault="00560305" w:rsidP="00560305">
      <w:pPr>
        <w:rPr>
          <w:b/>
          <w:bCs/>
          <w:sz w:val="22"/>
          <w:lang w:val="en-US"/>
        </w:rPr>
      </w:pPr>
      <w:r w:rsidRPr="00B20F08">
        <w:rPr>
          <w:b/>
          <w:bCs/>
          <w:sz w:val="22"/>
          <w:lang w:val="en-US"/>
        </w:rPr>
        <w:t xml:space="preserve">Treatment:   </w:t>
      </w:r>
    </w:p>
    <w:p w:rsidR="00560305" w:rsidRPr="00EF6EC8" w:rsidRDefault="00560305" w:rsidP="00560305">
      <w:pPr>
        <w:ind w:left="0" w:firstLine="0"/>
        <w:rPr>
          <w:bCs/>
          <w:sz w:val="22"/>
          <w:lang w:val="en-US"/>
        </w:rPr>
      </w:pPr>
      <w:r w:rsidRPr="00EF6EC8">
        <w:rPr>
          <w:bCs/>
          <w:sz w:val="22"/>
          <w:lang w:val="en-US"/>
        </w:rPr>
        <w:t>VL:</w:t>
      </w:r>
      <w:r w:rsidRPr="00EF6EC8">
        <w:rPr>
          <w:sz w:val="22"/>
          <w:lang w:val="en-US"/>
        </w:rPr>
        <w:t xml:space="preserve"> antimonials, 20 mg </w:t>
      </w:r>
      <w:proofErr w:type="spellStart"/>
      <w:r w:rsidRPr="00EF6EC8">
        <w:rPr>
          <w:sz w:val="22"/>
          <w:lang w:val="en-US"/>
        </w:rPr>
        <w:t>Sb</w:t>
      </w:r>
      <w:r w:rsidRPr="00EF6EC8">
        <w:rPr>
          <w:sz w:val="22"/>
          <w:vertAlign w:val="superscript"/>
          <w:lang w:val="en-US"/>
        </w:rPr>
        <w:t>v</w:t>
      </w:r>
      <w:proofErr w:type="spellEnd"/>
      <w:r w:rsidRPr="00EF6EC8">
        <w:rPr>
          <w:sz w:val="22"/>
          <w:lang w:val="en-US"/>
        </w:rPr>
        <w:t xml:space="preserve">/kg/day for 30 days. Cure rate is 90%. Relapse is seen in 4% of cases. Fatality rate is 5-10%. Second line treatment: amphotericin B at a dose of 1 mg/kg every other day for 30 days or liposomal amphotericin B 4 mg/kg/day for 5-10 days. Miltefosine (100 mg/day, 28 days) is used as 3rd line treatment, mainly for coinfected patients. For coinfected patients, liposomal amphotericin B for 4 mg/kg/day for 5-10 days </w:t>
      </w:r>
      <w:proofErr w:type="gramStart"/>
      <w:r w:rsidRPr="00EF6EC8">
        <w:rPr>
          <w:sz w:val="22"/>
          <w:lang w:val="en-US"/>
        </w:rPr>
        <w:t>is</w:t>
      </w:r>
      <w:proofErr w:type="gramEnd"/>
      <w:r w:rsidRPr="00EF6EC8">
        <w:rPr>
          <w:sz w:val="22"/>
          <w:lang w:val="en-US"/>
        </w:rPr>
        <w:t xml:space="preserve"> first line treatment, with a cure rate of 60%. PKDL is treated with a 2-month course of antimonials (20 mg </w:t>
      </w:r>
      <w:proofErr w:type="spellStart"/>
      <w:r>
        <w:rPr>
          <w:sz w:val="22"/>
        </w:rPr>
        <w:t>Sb</w:t>
      </w:r>
      <w:r w:rsidRPr="001905E8">
        <w:rPr>
          <w:sz w:val="22"/>
          <w:vertAlign w:val="superscript"/>
        </w:rPr>
        <w:t>v</w:t>
      </w:r>
      <w:proofErr w:type="spellEnd"/>
      <w:r w:rsidRPr="00EF6EC8" w:rsidDel="001905E8">
        <w:rPr>
          <w:sz w:val="22"/>
          <w:lang w:val="en-US"/>
        </w:rPr>
        <w:t xml:space="preserve"> </w:t>
      </w:r>
      <w:r w:rsidRPr="00EF6EC8">
        <w:rPr>
          <w:sz w:val="22"/>
          <w:lang w:val="en-US"/>
        </w:rPr>
        <w:t xml:space="preserve">/kg/day). </w:t>
      </w:r>
    </w:p>
    <w:p w:rsidR="00560305" w:rsidRPr="00EF6EC8" w:rsidRDefault="00560305" w:rsidP="00560305">
      <w:pPr>
        <w:rPr>
          <w:bCs/>
          <w:sz w:val="22"/>
          <w:lang w:val="en-US"/>
        </w:rPr>
      </w:pPr>
    </w:p>
    <w:p w:rsidR="00560305" w:rsidRPr="00B20F08" w:rsidRDefault="00560305" w:rsidP="00560305">
      <w:pPr>
        <w:ind w:left="0" w:firstLine="0"/>
        <w:rPr>
          <w:sz w:val="22"/>
          <w:lang w:val="en-US"/>
        </w:rPr>
      </w:pPr>
      <w:r w:rsidRPr="00EF6EC8">
        <w:rPr>
          <w:bCs/>
          <w:sz w:val="22"/>
          <w:lang w:val="en-US"/>
        </w:rPr>
        <w:t>CL:</w:t>
      </w:r>
      <w:r w:rsidRPr="00EF6EC8">
        <w:rPr>
          <w:sz w:val="22"/>
          <w:lang w:val="en-US"/>
        </w:rPr>
        <w:t xml:space="preserve"> cryotherapy (with liquid nitrogen); antimonials, intralesional or systemic (20 mg </w:t>
      </w:r>
      <w:proofErr w:type="spellStart"/>
      <w:r w:rsidRPr="00EF6EC8">
        <w:rPr>
          <w:sz w:val="22"/>
          <w:lang w:val="en-US"/>
        </w:rPr>
        <w:t>Sb</w:t>
      </w:r>
      <w:r w:rsidRPr="00EF6EC8">
        <w:rPr>
          <w:sz w:val="22"/>
          <w:vertAlign w:val="superscript"/>
          <w:lang w:val="en-US"/>
        </w:rPr>
        <w:t>v</w:t>
      </w:r>
      <w:proofErr w:type="spellEnd"/>
      <w:r w:rsidRPr="00EF6EC8">
        <w:rPr>
          <w:sz w:val="22"/>
          <w:lang w:val="en-US"/>
        </w:rPr>
        <w:t>/kg/day</w:t>
      </w:r>
      <w:r w:rsidRPr="00B20F08">
        <w:rPr>
          <w:sz w:val="22"/>
          <w:lang w:val="en-US"/>
        </w:rPr>
        <w:t xml:space="preserve"> for 20 days) for severe cases. Cryotherapy has a cure rate of 93%. Failure rate was 28% for antimonials. </w:t>
      </w:r>
      <w:proofErr w:type="spellStart"/>
      <w:r w:rsidRPr="00B20F08">
        <w:rPr>
          <w:sz w:val="22"/>
          <w:lang w:val="en-US"/>
        </w:rPr>
        <w:t>Pentamidine</w:t>
      </w:r>
      <w:proofErr w:type="spellEnd"/>
      <w:r w:rsidRPr="00B20F08">
        <w:rPr>
          <w:sz w:val="22"/>
          <w:lang w:val="en-US"/>
        </w:rPr>
        <w:t xml:space="preserve"> is used as second line treatment with a cure rate of 88%.</w:t>
      </w:r>
    </w:p>
    <w:p w:rsidR="00560305" w:rsidRPr="00B20F08" w:rsidRDefault="00560305" w:rsidP="00560305">
      <w:pPr>
        <w:rPr>
          <w:sz w:val="22"/>
          <w:lang w:val="en-US"/>
        </w:rPr>
      </w:pPr>
    </w:p>
    <w:p w:rsidR="00560305" w:rsidRPr="00984ED5" w:rsidRDefault="00560305" w:rsidP="00560305">
      <w:pPr>
        <w:rPr>
          <w:sz w:val="22"/>
          <w:lang w:val="en-GB"/>
        </w:rPr>
      </w:pPr>
    </w:p>
    <w:p w:rsidR="00560305" w:rsidRPr="00586CC2" w:rsidRDefault="00560305" w:rsidP="00560305">
      <w:pPr>
        <w:spacing w:line="360" w:lineRule="auto"/>
        <w:rPr>
          <w:b/>
          <w:bCs/>
          <w:sz w:val="22"/>
          <w:lang w:val="en-US"/>
        </w:rPr>
      </w:pPr>
      <w:r w:rsidRPr="00586CC2">
        <w:rPr>
          <w:b/>
          <w:bCs/>
          <w:sz w:val="22"/>
          <w:lang w:val="en-US"/>
        </w:rPr>
        <w:t xml:space="preserve">ACCESS TO CARE </w:t>
      </w:r>
    </w:p>
    <w:p w:rsidR="00560305" w:rsidRPr="004928A2" w:rsidRDefault="00560305" w:rsidP="00560305">
      <w:pPr>
        <w:ind w:left="0" w:firstLine="0"/>
        <w:rPr>
          <w:sz w:val="22"/>
          <w:lang w:val="en-US"/>
        </w:rPr>
      </w:pPr>
      <w:r w:rsidRPr="004928A2">
        <w:rPr>
          <w:sz w:val="22"/>
          <w:lang w:val="en-US"/>
        </w:rPr>
        <w:t>Care for leishmaniasis is not provided for free. Patients do not have to pay for VL drugs and rK39 tests, but other tests are not free</w:t>
      </w:r>
      <w:r>
        <w:rPr>
          <w:sz w:val="22"/>
          <w:lang w:val="en-US"/>
        </w:rPr>
        <w:t xml:space="preserve"> of charge</w:t>
      </w:r>
      <w:r w:rsidRPr="004928A2">
        <w:rPr>
          <w:sz w:val="22"/>
          <w:lang w:val="en-US"/>
        </w:rPr>
        <w:t>. The registration fee for health facilities is 0</w:t>
      </w:r>
      <w:r>
        <w:rPr>
          <w:sz w:val="22"/>
          <w:lang w:val="en-US"/>
        </w:rPr>
        <w:t>.</w:t>
      </w:r>
      <w:r w:rsidRPr="004928A2">
        <w:rPr>
          <w:sz w:val="22"/>
          <w:lang w:val="en-US"/>
        </w:rPr>
        <w:t>25-2 USD (with or without referral letter). Hospitali</w:t>
      </w:r>
      <w:r>
        <w:rPr>
          <w:sz w:val="22"/>
          <w:lang w:val="en-US"/>
        </w:rPr>
        <w:t>z</w:t>
      </w:r>
      <w:r w:rsidRPr="004928A2">
        <w:rPr>
          <w:sz w:val="22"/>
          <w:lang w:val="en-US"/>
        </w:rPr>
        <w:t xml:space="preserve">ation </w:t>
      </w:r>
      <w:r>
        <w:rPr>
          <w:sz w:val="22"/>
          <w:lang w:val="en-US"/>
        </w:rPr>
        <w:t>costs</w:t>
      </w:r>
      <w:r w:rsidRPr="004928A2">
        <w:rPr>
          <w:sz w:val="22"/>
          <w:lang w:val="en-US"/>
        </w:rPr>
        <w:t xml:space="preserve"> 12 USD. In total, a VL patient usually has to spend 20 USD to complete a full treatment in hospital. Patients are often too poor to pay for this and also suffer </w:t>
      </w:r>
      <w:r>
        <w:rPr>
          <w:sz w:val="22"/>
          <w:lang w:val="en-US"/>
        </w:rPr>
        <w:t xml:space="preserve">major </w:t>
      </w:r>
      <w:r w:rsidRPr="004928A2">
        <w:rPr>
          <w:sz w:val="22"/>
          <w:lang w:val="en-US"/>
        </w:rPr>
        <w:t>economic</w:t>
      </w:r>
      <w:r>
        <w:rPr>
          <w:sz w:val="22"/>
          <w:lang w:val="en-US"/>
        </w:rPr>
        <w:t xml:space="preserve"> loss</w:t>
      </w:r>
      <w:r w:rsidRPr="004928A2">
        <w:rPr>
          <w:sz w:val="22"/>
          <w:lang w:val="en-US"/>
        </w:rPr>
        <w:t xml:space="preserve"> when spending time away from home. Many patients live in very remote areas with no health facilities and no transport, or they cannot afford transport </w:t>
      </w:r>
      <w:r>
        <w:rPr>
          <w:sz w:val="22"/>
          <w:lang w:val="en-US"/>
        </w:rPr>
        <w:t xml:space="preserve">if </w:t>
      </w:r>
      <w:r w:rsidRPr="004928A2">
        <w:rPr>
          <w:sz w:val="22"/>
          <w:lang w:val="en-US"/>
        </w:rPr>
        <w:t xml:space="preserve">available. There is also a lack of awareness of the disease. These issues are currently addressed by mobile teams that are active in a number of remote endemic areas.  </w:t>
      </w:r>
    </w:p>
    <w:p w:rsidR="00560305" w:rsidRPr="004928A2" w:rsidRDefault="00560305" w:rsidP="00560305">
      <w:pPr>
        <w:ind w:left="0" w:firstLine="0"/>
        <w:rPr>
          <w:sz w:val="22"/>
          <w:lang w:val="en-US"/>
        </w:rPr>
      </w:pPr>
    </w:p>
    <w:p w:rsidR="00560305" w:rsidRPr="004928A2" w:rsidRDefault="00560305" w:rsidP="00560305">
      <w:pPr>
        <w:ind w:left="0" w:firstLine="0"/>
        <w:rPr>
          <w:sz w:val="22"/>
          <w:lang w:val="en-US"/>
        </w:rPr>
      </w:pPr>
      <w:r w:rsidRPr="004928A2">
        <w:rPr>
          <w:sz w:val="22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4928A2">
            <w:rPr>
              <w:sz w:val="22"/>
              <w:lang w:val="en-US"/>
            </w:rPr>
            <w:t>Ethiopia</w:t>
          </w:r>
        </w:smartTag>
      </w:smartTag>
      <w:r w:rsidRPr="004928A2">
        <w:rPr>
          <w:sz w:val="22"/>
          <w:lang w:val="en-US"/>
        </w:rPr>
        <w:t xml:space="preserve">, MSF treated considerable numbers of VL patients. </w:t>
      </w:r>
      <w:proofErr w:type="gramStart"/>
      <w:r w:rsidRPr="004928A2">
        <w:rPr>
          <w:sz w:val="22"/>
          <w:lang w:val="en-US"/>
        </w:rPr>
        <w:t xml:space="preserve">In </w:t>
      </w:r>
      <w:smartTag w:uri="urn:schemas-microsoft-com:office:smarttags" w:element="metricconverter">
        <w:smartTagPr>
          <w:attr w:name="ProductID" w:val="2007, a"/>
        </w:smartTagPr>
        <w:r w:rsidRPr="004928A2">
          <w:rPr>
            <w:sz w:val="22"/>
            <w:lang w:val="en-US"/>
          </w:rPr>
          <w:t xml:space="preserve">2007, </w:t>
        </w:r>
        <w:r>
          <w:rPr>
            <w:sz w:val="22"/>
            <w:lang w:val="en-US"/>
          </w:rPr>
          <w:t>a</w:t>
        </w:r>
      </w:smartTag>
      <w:r>
        <w:rPr>
          <w:sz w:val="22"/>
          <w:lang w:val="en-US"/>
        </w:rPr>
        <w:t xml:space="preserve"> total of </w:t>
      </w:r>
      <w:r w:rsidRPr="004928A2">
        <w:rPr>
          <w:sz w:val="22"/>
          <w:lang w:val="en-US"/>
        </w:rPr>
        <w:t>2</w:t>
      </w:r>
      <w:r>
        <w:rPr>
          <w:sz w:val="22"/>
          <w:lang w:val="en-US"/>
        </w:rPr>
        <w:t>,</w:t>
      </w:r>
      <w:r w:rsidRPr="004928A2">
        <w:rPr>
          <w:sz w:val="22"/>
          <w:lang w:val="en-US"/>
        </w:rPr>
        <w:t xml:space="preserve">500 patients received treatment and in </w:t>
      </w:r>
      <w:smartTag w:uri="urn:schemas-microsoft-com:office:smarttags" w:element="metricconverter">
        <w:smartTagPr>
          <w:attr w:name="ProductID" w:val="2008, a"/>
        </w:smartTagPr>
        <w:r w:rsidRPr="004928A2">
          <w:rPr>
            <w:sz w:val="22"/>
            <w:lang w:val="en-US"/>
          </w:rPr>
          <w:t xml:space="preserve">2008, </w:t>
        </w:r>
        <w:r>
          <w:rPr>
            <w:sz w:val="22"/>
            <w:lang w:val="en-US"/>
          </w:rPr>
          <w:t>a</w:t>
        </w:r>
      </w:smartTag>
      <w:r>
        <w:rPr>
          <w:sz w:val="22"/>
          <w:lang w:val="en-US"/>
        </w:rPr>
        <w:t xml:space="preserve"> total of </w:t>
      </w:r>
      <w:r w:rsidRPr="004928A2">
        <w:rPr>
          <w:sz w:val="22"/>
          <w:lang w:val="en-US"/>
        </w:rPr>
        <w:t>1</w:t>
      </w:r>
      <w:r>
        <w:rPr>
          <w:sz w:val="22"/>
          <w:lang w:val="en-US"/>
        </w:rPr>
        <w:t>,</w:t>
      </w:r>
      <w:r w:rsidRPr="004928A2">
        <w:rPr>
          <w:sz w:val="22"/>
          <w:lang w:val="en-US"/>
        </w:rPr>
        <w:t>500</w:t>
      </w:r>
      <w:r>
        <w:rPr>
          <w:sz w:val="22"/>
          <w:lang w:val="en-US"/>
        </w:rPr>
        <w:t xml:space="preserve"> patients</w:t>
      </w:r>
      <w:r w:rsidRPr="004928A2">
        <w:rPr>
          <w:sz w:val="22"/>
          <w:lang w:val="en-US"/>
        </w:rPr>
        <w:t>.</w:t>
      </w:r>
      <w:proofErr w:type="gramEnd"/>
      <w:r w:rsidRPr="004928A2">
        <w:rPr>
          <w:sz w:val="22"/>
          <w:lang w:val="en-US"/>
        </w:rPr>
        <w:t xml:space="preserve"> For both years</w:t>
      </w:r>
      <w:r>
        <w:rPr>
          <w:sz w:val="22"/>
          <w:lang w:val="en-US"/>
        </w:rPr>
        <w:t>,</w:t>
      </w:r>
      <w:r w:rsidRPr="004928A2">
        <w:rPr>
          <w:sz w:val="22"/>
          <w:lang w:val="en-US"/>
        </w:rPr>
        <w:t xml:space="preserve"> the number of patients was estimated at 4</w:t>
      </w:r>
      <w:r>
        <w:rPr>
          <w:sz w:val="22"/>
          <w:lang w:val="en-US"/>
        </w:rPr>
        <w:t>,</w:t>
      </w:r>
      <w:r w:rsidRPr="004928A2">
        <w:rPr>
          <w:sz w:val="22"/>
          <w:lang w:val="en-US"/>
        </w:rPr>
        <w:t xml:space="preserve">500, meaning that over half of patients had </w:t>
      </w:r>
      <w:r>
        <w:rPr>
          <w:sz w:val="22"/>
          <w:lang w:val="en-US"/>
        </w:rPr>
        <w:t xml:space="preserve">problematic </w:t>
      </w:r>
      <w:r w:rsidRPr="004928A2">
        <w:rPr>
          <w:sz w:val="22"/>
          <w:lang w:val="en-US"/>
        </w:rPr>
        <w:t xml:space="preserve">access to treatment. </w:t>
      </w:r>
    </w:p>
    <w:p w:rsidR="00560305" w:rsidRPr="004928A2" w:rsidRDefault="00560305" w:rsidP="00560305">
      <w:pPr>
        <w:ind w:left="0" w:firstLine="0"/>
        <w:rPr>
          <w:sz w:val="22"/>
          <w:lang w:val="en-US"/>
        </w:rPr>
      </w:pPr>
    </w:p>
    <w:p w:rsidR="00560305" w:rsidRPr="004928A2" w:rsidRDefault="00560305" w:rsidP="00560305">
      <w:pPr>
        <w:ind w:left="0" w:firstLine="0"/>
        <w:rPr>
          <w:sz w:val="22"/>
          <w:lang w:val="en-US"/>
        </w:rPr>
      </w:pPr>
      <w:r w:rsidRPr="004928A2">
        <w:rPr>
          <w:sz w:val="22"/>
          <w:lang w:val="en-US"/>
        </w:rPr>
        <w:t xml:space="preserve">The Ministry of Health provided conventional amphotericin B and generic sodium stibogluconate in 2007 and 2008. As the amounts were </w:t>
      </w:r>
      <w:r>
        <w:rPr>
          <w:sz w:val="22"/>
          <w:lang w:val="en-US"/>
        </w:rPr>
        <w:t>in</w:t>
      </w:r>
      <w:r w:rsidRPr="004928A2">
        <w:rPr>
          <w:sz w:val="22"/>
          <w:lang w:val="en-US"/>
        </w:rPr>
        <w:t xml:space="preserve">sufficient, WHO donated considerable amounts of </w:t>
      </w:r>
      <w:proofErr w:type="gramStart"/>
      <w:r w:rsidRPr="004928A2">
        <w:rPr>
          <w:sz w:val="22"/>
          <w:lang w:val="en-US"/>
        </w:rPr>
        <w:t>antimonials.</w:t>
      </w:r>
      <w:proofErr w:type="gramEnd"/>
      <w:r w:rsidRPr="004928A2">
        <w:rPr>
          <w:sz w:val="22"/>
          <w:lang w:val="en-US"/>
        </w:rPr>
        <w:t xml:space="preserve"> </w:t>
      </w:r>
    </w:p>
    <w:p w:rsidR="00560305" w:rsidRPr="004928A2" w:rsidRDefault="00560305" w:rsidP="00560305">
      <w:pPr>
        <w:ind w:left="0" w:firstLine="0"/>
        <w:rPr>
          <w:sz w:val="22"/>
          <w:lang w:val="en-US"/>
        </w:rPr>
      </w:pPr>
      <w:r w:rsidRPr="004928A2">
        <w:rPr>
          <w:sz w:val="22"/>
          <w:lang w:val="en-US"/>
        </w:rPr>
        <w:t xml:space="preserve"> </w:t>
      </w:r>
    </w:p>
    <w:p w:rsidR="00560305" w:rsidRPr="004928A2" w:rsidRDefault="00560305" w:rsidP="00560305">
      <w:pPr>
        <w:ind w:left="0" w:firstLine="0"/>
        <w:rPr>
          <w:sz w:val="22"/>
          <w:lang w:val="en-US"/>
        </w:rPr>
      </w:pPr>
      <w:r w:rsidRPr="004928A2">
        <w:rPr>
          <w:sz w:val="22"/>
          <w:lang w:val="en-US"/>
        </w:rPr>
        <w:t>There are only very few health cente</w:t>
      </w:r>
      <w:r>
        <w:rPr>
          <w:sz w:val="22"/>
          <w:lang w:val="en-US"/>
        </w:rPr>
        <w:t>r</w:t>
      </w:r>
      <w:r w:rsidRPr="004928A2">
        <w:rPr>
          <w:sz w:val="22"/>
          <w:lang w:val="en-US"/>
        </w:rPr>
        <w:t xml:space="preserve">s that diagnose and treat CL. </w:t>
      </w:r>
      <w:r>
        <w:rPr>
          <w:sz w:val="22"/>
          <w:lang w:val="en-US"/>
        </w:rPr>
        <w:t>It</w:t>
      </w:r>
      <w:r w:rsidRPr="004928A2">
        <w:rPr>
          <w:sz w:val="22"/>
          <w:lang w:val="en-US"/>
        </w:rPr>
        <w:t xml:space="preserve"> is </w:t>
      </w:r>
      <w:r>
        <w:rPr>
          <w:sz w:val="22"/>
          <w:lang w:val="en-US"/>
        </w:rPr>
        <w:t>usually</w:t>
      </w:r>
      <w:r w:rsidRPr="004928A2">
        <w:rPr>
          <w:sz w:val="22"/>
          <w:lang w:val="en-US"/>
        </w:rPr>
        <w:t xml:space="preserve"> treated by traditional healers that use local </w:t>
      </w:r>
      <w:r>
        <w:rPr>
          <w:sz w:val="22"/>
          <w:lang w:val="en-US"/>
        </w:rPr>
        <w:t xml:space="preserve">heat </w:t>
      </w:r>
      <w:r w:rsidRPr="004928A2">
        <w:rPr>
          <w:sz w:val="22"/>
          <w:lang w:val="en-US"/>
        </w:rPr>
        <w:t xml:space="preserve">application and local plants.  </w:t>
      </w:r>
    </w:p>
    <w:p w:rsidR="00560305" w:rsidRPr="004928A2" w:rsidRDefault="00560305" w:rsidP="00560305">
      <w:pPr>
        <w:spacing w:line="360" w:lineRule="auto"/>
        <w:rPr>
          <w:sz w:val="22"/>
          <w:lang w:val="en-US"/>
        </w:rPr>
      </w:pPr>
    </w:p>
    <w:p w:rsidR="00560305" w:rsidRPr="00984ED5" w:rsidRDefault="00560305" w:rsidP="00560305">
      <w:pPr>
        <w:rPr>
          <w:sz w:val="22"/>
          <w:lang w:val="en-GB"/>
        </w:rPr>
      </w:pPr>
    </w:p>
    <w:p w:rsidR="00560305" w:rsidRPr="00984ED5" w:rsidRDefault="00560305" w:rsidP="00560305">
      <w:pPr>
        <w:rPr>
          <w:sz w:val="22"/>
          <w:lang w:val="en-GB"/>
        </w:rPr>
      </w:pPr>
      <w:r w:rsidRPr="00984ED5">
        <w:rPr>
          <w:b/>
          <w:sz w:val="22"/>
          <w:lang w:val="en-GB"/>
        </w:rPr>
        <w:t>ACCESS TO DRUGS</w:t>
      </w:r>
      <w:r w:rsidRPr="00984ED5">
        <w:rPr>
          <w:sz w:val="22"/>
          <w:lang w:val="en-GB"/>
        </w:rPr>
        <w:t xml:space="preserve"> </w:t>
      </w:r>
    </w:p>
    <w:p w:rsidR="00560305" w:rsidRPr="00984ED5" w:rsidRDefault="00560305" w:rsidP="00560305">
      <w:pPr>
        <w:rPr>
          <w:sz w:val="22"/>
          <w:lang w:val="en-GB"/>
        </w:rPr>
      </w:pPr>
    </w:p>
    <w:p w:rsidR="00560305" w:rsidRPr="004928A2" w:rsidRDefault="00560305" w:rsidP="00560305">
      <w:pPr>
        <w:ind w:left="0" w:firstLine="0"/>
        <w:rPr>
          <w:sz w:val="22"/>
          <w:lang w:val="en-US"/>
        </w:rPr>
      </w:pPr>
      <w:r w:rsidRPr="004928A2">
        <w:rPr>
          <w:sz w:val="22"/>
          <w:lang w:val="en-US"/>
        </w:rPr>
        <w:t xml:space="preserve">Sodium stibogluconate, liposomal amphotericin B, </w:t>
      </w:r>
      <w:proofErr w:type="spellStart"/>
      <w:r w:rsidRPr="004928A2">
        <w:rPr>
          <w:sz w:val="22"/>
          <w:lang w:val="en-US"/>
        </w:rPr>
        <w:t>pentamidine</w:t>
      </w:r>
      <w:proofErr w:type="spellEnd"/>
      <w:r w:rsidRPr="004928A2">
        <w:rPr>
          <w:sz w:val="22"/>
          <w:lang w:val="en-US"/>
        </w:rPr>
        <w:t xml:space="preserve"> and miltefosine (50 mg tablets) are included in the National Essential Drug List. Drugs for leishmaniasis are not available in pharmacies and unregulated drug markets. </w:t>
      </w:r>
      <w:r w:rsidRPr="00B37375">
        <w:rPr>
          <w:sz w:val="22"/>
          <w:lang w:val="en-GB"/>
        </w:rPr>
        <w:t xml:space="preserve">No drugs for leishmaniasis are registered in </w:t>
      </w:r>
      <w:smartTag w:uri="urn:schemas-microsoft-com:office:smarttags" w:element="place">
        <w:smartTag w:uri="urn:schemas-microsoft-com:office:smarttags" w:element="country-region">
          <w:r w:rsidRPr="00B37375">
            <w:rPr>
              <w:sz w:val="22"/>
              <w:lang w:val="en-GB"/>
            </w:rPr>
            <w:t>Ethiopia</w:t>
          </w:r>
        </w:smartTag>
      </w:smartTag>
      <w:r w:rsidRPr="00B37375">
        <w:rPr>
          <w:sz w:val="22"/>
          <w:lang w:val="en-GB"/>
        </w:rPr>
        <w:t xml:space="preserve">. </w:t>
      </w:r>
      <w:r w:rsidRPr="004928A2">
        <w:rPr>
          <w:sz w:val="22"/>
          <w:lang w:val="en-US"/>
        </w:rPr>
        <w:t xml:space="preserve"> </w:t>
      </w:r>
    </w:p>
    <w:p w:rsidR="00560305" w:rsidRDefault="00560305" w:rsidP="00560305">
      <w:pPr>
        <w:rPr>
          <w:sz w:val="22"/>
          <w:lang w:val="en-US"/>
        </w:rPr>
      </w:pPr>
    </w:p>
    <w:p w:rsidR="00560305" w:rsidRDefault="00560305" w:rsidP="00560305">
      <w:pPr>
        <w:rPr>
          <w:sz w:val="22"/>
          <w:lang w:val="en-US"/>
        </w:rPr>
      </w:pPr>
    </w:p>
    <w:p w:rsidR="00560305" w:rsidRDefault="00560305" w:rsidP="00560305">
      <w:pPr>
        <w:rPr>
          <w:b/>
          <w:sz w:val="22"/>
          <w:lang w:val="en-GB"/>
        </w:rPr>
      </w:pPr>
    </w:p>
    <w:p w:rsidR="00560305" w:rsidRPr="00984ED5" w:rsidRDefault="00560305" w:rsidP="00560305">
      <w:pPr>
        <w:rPr>
          <w:b/>
          <w:sz w:val="22"/>
          <w:lang w:val="en-GB"/>
        </w:rPr>
      </w:pPr>
      <w:r w:rsidRPr="00984ED5">
        <w:rPr>
          <w:b/>
          <w:sz w:val="22"/>
          <w:lang w:val="en-GB"/>
        </w:rPr>
        <w:lastRenderedPageBreak/>
        <w:t>SOURCES OF INFORMATION</w:t>
      </w:r>
    </w:p>
    <w:p w:rsidR="00560305" w:rsidRPr="00984ED5" w:rsidRDefault="00560305" w:rsidP="00560305">
      <w:pPr>
        <w:rPr>
          <w:lang w:val="en-GB"/>
        </w:rPr>
      </w:pPr>
    </w:p>
    <w:p w:rsidR="00560305" w:rsidRPr="00C650FE" w:rsidRDefault="00560305" w:rsidP="00560305">
      <w:pPr>
        <w:pStyle w:val="Sinespaciado"/>
        <w:numPr>
          <w:ilvl w:val="0"/>
          <w:numId w:val="5"/>
        </w:numPr>
        <w:rPr>
          <w:rFonts w:ascii="Arial" w:hAnsi="Arial" w:cs="Arial"/>
          <w:i/>
          <w:iCs/>
          <w:lang w:val="en-GB"/>
        </w:rPr>
      </w:pPr>
      <w:r w:rsidRPr="00C650FE">
        <w:rPr>
          <w:rFonts w:ascii="Arial" w:hAnsi="Arial" w:cs="Arial"/>
          <w:lang w:val="en-US"/>
        </w:rPr>
        <w:t xml:space="preserve">Drs Daniel Argaw and </w:t>
      </w:r>
      <w:proofErr w:type="spellStart"/>
      <w:r w:rsidRPr="00C650FE">
        <w:rPr>
          <w:rFonts w:ascii="Arial" w:hAnsi="Arial" w:cs="Arial"/>
          <w:lang w:val="en-US"/>
        </w:rPr>
        <w:t>Merce</w:t>
      </w:r>
      <w:proofErr w:type="spellEnd"/>
      <w:r w:rsidRPr="00C650FE">
        <w:rPr>
          <w:rFonts w:ascii="Arial" w:hAnsi="Arial" w:cs="Arial"/>
          <w:lang w:val="en-US"/>
        </w:rPr>
        <w:t xml:space="preserve"> </w:t>
      </w:r>
      <w:proofErr w:type="spellStart"/>
      <w:r w:rsidRPr="00C650FE">
        <w:rPr>
          <w:rFonts w:ascii="Arial" w:hAnsi="Arial" w:cs="Arial"/>
          <w:lang w:val="en-US"/>
        </w:rPr>
        <w:t>Herrero</w:t>
      </w:r>
      <w:proofErr w:type="spellEnd"/>
      <w:r w:rsidRPr="00C650FE">
        <w:rPr>
          <w:rFonts w:ascii="Arial" w:hAnsi="Arial" w:cs="Arial"/>
          <w:lang w:val="en-US"/>
        </w:rPr>
        <w:t xml:space="preserve">: Disease Prevention and Control, WHO Ethiopia. </w:t>
      </w:r>
      <w:r w:rsidRPr="00C650FE">
        <w:rPr>
          <w:rFonts w:ascii="Arial" w:hAnsi="Arial" w:cs="Arial"/>
          <w:i/>
          <w:iCs/>
          <w:lang w:val="en-GB"/>
        </w:rPr>
        <w:t xml:space="preserve">Consultative Meeting on </w:t>
      </w:r>
      <w:proofErr w:type="gramStart"/>
      <w:r w:rsidRPr="00C650FE">
        <w:rPr>
          <w:rFonts w:ascii="Arial" w:hAnsi="Arial" w:cs="Arial"/>
          <w:i/>
          <w:iCs/>
          <w:lang w:val="en-GB"/>
        </w:rPr>
        <w:t>The</w:t>
      </w:r>
      <w:proofErr w:type="gramEnd"/>
      <w:r w:rsidRPr="00C650FE">
        <w:rPr>
          <w:rFonts w:ascii="Arial" w:hAnsi="Arial" w:cs="Arial"/>
          <w:i/>
          <w:iCs/>
          <w:lang w:val="en-GB"/>
        </w:rPr>
        <w:t xml:space="preserve"> Control of Leishmaniasis in the African Region WHO/AFRO </w:t>
      </w:r>
      <w:smartTag w:uri="urn:schemas-microsoft-com:office:smarttags" w:element="place">
        <w:smartTag w:uri="urn:schemas-microsoft-com:office:smarttags" w:element="City">
          <w:r w:rsidRPr="00C650FE">
            <w:rPr>
              <w:rFonts w:ascii="Arial" w:hAnsi="Arial" w:cs="Arial"/>
              <w:i/>
              <w:iCs/>
              <w:lang w:val="en-GB"/>
            </w:rPr>
            <w:t>Addis Ababa</w:t>
          </w:r>
        </w:smartTag>
      </w:smartTag>
      <w:r w:rsidRPr="00C650FE">
        <w:rPr>
          <w:rFonts w:ascii="Arial" w:hAnsi="Arial" w:cs="Arial"/>
          <w:i/>
          <w:iCs/>
          <w:lang w:val="en-GB"/>
        </w:rPr>
        <w:t>, 23-25 Feb 2010</w:t>
      </w:r>
      <w:r>
        <w:rPr>
          <w:rFonts w:ascii="Arial" w:hAnsi="Arial" w:cs="Arial"/>
          <w:i/>
          <w:iCs/>
          <w:lang w:val="en-GB"/>
        </w:rPr>
        <w:t>.</w:t>
      </w:r>
    </w:p>
    <w:p w:rsidR="00560305" w:rsidRPr="00C650FE" w:rsidRDefault="00560305" w:rsidP="00560305">
      <w:pPr>
        <w:pStyle w:val="Sinespaciado"/>
        <w:numPr>
          <w:ilvl w:val="0"/>
          <w:numId w:val="5"/>
        </w:numPr>
        <w:rPr>
          <w:rFonts w:ascii="Arial" w:hAnsi="Arial" w:cs="Arial"/>
          <w:lang w:val="en-GB"/>
        </w:rPr>
      </w:pPr>
      <w:r w:rsidRPr="00C650FE">
        <w:rPr>
          <w:rFonts w:ascii="Arial" w:hAnsi="Arial" w:cs="Arial"/>
          <w:lang w:val="en-US"/>
        </w:rPr>
        <w:t xml:space="preserve">Dr Abraham </w:t>
      </w:r>
      <w:proofErr w:type="spellStart"/>
      <w:r w:rsidRPr="00C650FE">
        <w:rPr>
          <w:rFonts w:ascii="Arial" w:hAnsi="Arial" w:cs="Arial"/>
          <w:lang w:val="en-US"/>
        </w:rPr>
        <w:t>Aseffa</w:t>
      </w:r>
      <w:proofErr w:type="spellEnd"/>
      <w:r w:rsidRPr="00C650FE">
        <w:rPr>
          <w:rFonts w:ascii="Arial" w:hAnsi="Arial" w:cs="Arial"/>
          <w:lang w:val="en-US"/>
        </w:rPr>
        <w:t xml:space="preserve">, </w:t>
      </w:r>
      <w:proofErr w:type="spellStart"/>
      <w:r w:rsidRPr="00C650FE">
        <w:rPr>
          <w:rFonts w:ascii="Arial" w:hAnsi="Arial" w:cs="Arial"/>
          <w:lang w:val="en-US"/>
        </w:rPr>
        <w:t>Armauer</w:t>
      </w:r>
      <w:proofErr w:type="spellEnd"/>
      <w:r w:rsidRPr="00C650FE">
        <w:rPr>
          <w:rFonts w:ascii="Arial" w:hAnsi="Arial" w:cs="Arial"/>
          <w:lang w:val="en-US"/>
        </w:rPr>
        <w:t xml:space="preserve"> Hansen Research Institute/ALERT.</w:t>
      </w:r>
      <w:r w:rsidRPr="00C650FE">
        <w:rPr>
          <w:rFonts w:ascii="Arial" w:hAnsi="Arial" w:cs="Arial"/>
          <w:i/>
          <w:iCs/>
          <w:lang w:val="en-US"/>
        </w:rPr>
        <w:t xml:space="preserve"> </w:t>
      </w:r>
      <w:r w:rsidRPr="00C650FE">
        <w:rPr>
          <w:rFonts w:ascii="Arial" w:hAnsi="Arial" w:cs="Arial"/>
          <w:i/>
          <w:iCs/>
          <w:lang w:val="en-GB"/>
        </w:rPr>
        <w:t xml:space="preserve">Consultative Meeting on </w:t>
      </w:r>
      <w:proofErr w:type="gramStart"/>
      <w:r w:rsidRPr="00C650FE">
        <w:rPr>
          <w:rFonts w:ascii="Arial" w:hAnsi="Arial" w:cs="Arial"/>
          <w:i/>
          <w:iCs/>
          <w:lang w:val="en-GB"/>
        </w:rPr>
        <w:t>The</w:t>
      </w:r>
      <w:proofErr w:type="gramEnd"/>
      <w:r w:rsidRPr="00C650FE">
        <w:rPr>
          <w:rFonts w:ascii="Arial" w:hAnsi="Arial" w:cs="Arial"/>
          <w:i/>
          <w:iCs/>
          <w:lang w:val="en-GB"/>
        </w:rPr>
        <w:t xml:space="preserve"> Control of Leishmaniasis in the African Region WHO/AFRO </w:t>
      </w:r>
      <w:smartTag w:uri="urn:schemas-microsoft-com:office:smarttags" w:element="place">
        <w:smartTag w:uri="urn:schemas-microsoft-com:office:smarttags" w:element="City">
          <w:r w:rsidRPr="00C650FE">
            <w:rPr>
              <w:rFonts w:ascii="Arial" w:hAnsi="Arial" w:cs="Arial"/>
              <w:i/>
              <w:iCs/>
              <w:lang w:val="en-GB"/>
            </w:rPr>
            <w:t>Addis Ababa</w:t>
          </w:r>
        </w:smartTag>
      </w:smartTag>
      <w:r w:rsidRPr="00C650FE">
        <w:rPr>
          <w:rFonts w:ascii="Arial" w:hAnsi="Arial" w:cs="Arial"/>
          <w:i/>
          <w:iCs/>
          <w:lang w:val="en-GB"/>
        </w:rPr>
        <w:t>, 23-25 Feb 2010</w:t>
      </w:r>
      <w:r>
        <w:rPr>
          <w:rFonts w:ascii="Arial" w:hAnsi="Arial" w:cs="Arial"/>
          <w:i/>
          <w:iCs/>
          <w:lang w:val="en-GB"/>
        </w:rPr>
        <w:t>.</w:t>
      </w:r>
    </w:p>
    <w:p w:rsidR="00560305" w:rsidRPr="004928A2" w:rsidRDefault="00560305" w:rsidP="00560305">
      <w:pPr>
        <w:ind w:left="0" w:firstLine="0"/>
        <w:rPr>
          <w:sz w:val="22"/>
          <w:lang w:val="en-US"/>
        </w:rPr>
      </w:pPr>
    </w:p>
    <w:p w:rsidR="00560305" w:rsidRDefault="00560305" w:rsidP="00560305">
      <w:pPr>
        <w:rPr>
          <w:lang w:val="en-US"/>
        </w:rPr>
      </w:pPr>
    </w:p>
    <w:p w:rsidR="00560305" w:rsidRPr="00984ED5" w:rsidRDefault="00560305" w:rsidP="00560305">
      <w:pPr>
        <w:ind w:left="0" w:firstLine="0"/>
        <w:rPr>
          <w:sz w:val="22"/>
          <w:lang w:val="en-US"/>
        </w:rPr>
      </w:pPr>
    </w:p>
    <w:p w:rsidR="00560305" w:rsidRPr="00657F41" w:rsidRDefault="00560305" w:rsidP="00560305">
      <w:pPr>
        <w:ind w:left="0" w:firstLine="0"/>
        <w:rPr>
          <w:color w:val="4F81BD"/>
          <w:sz w:val="22"/>
          <w:lang w:val="en-GB"/>
        </w:rPr>
      </w:pPr>
    </w:p>
    <w:p w:rsidR="00560305" w:rsidRPr="002F2F3C" w:rsidRDefault="00560305" w:rsidP="00560305">
      <w:pPr>
        <w:ind w:left="0" w:firstLine="0"/>
        <w:rPr>
          <w:sz w:val="22"/>
          <w:lang w:val="en-GB"/>
        </w:rPr>
      </w:pPr>
      <w:r w:rsidRPr="002F2F3C">
        <w:rPr>
          <w:sz w:val="22"/>
          <w:lang w:val="en-GB"/>
        </w:rPr>
        <w:t>1. Ashford RW, Bray MA, Hutchinson MP, Bray RS</w:t>
      </w:r>
      <w:r>
        <w:rPr>
          <w:sz w:val="22"/>
          <w:lang w:val="en-GB"/>
        </w:rPr>
        <w:t xml:space="preserve"> (1973)</w:t>
      </w:r>
      <w:r w:rsidRPr="002F2F3C">
        <w:rPr>
          <w:sz w:val="22"/>
          <w:lang w:val="en-GB"/>
        </w:rPr>
        <w:t xml:space="preserve">. </w:t>
      </w:r>
      <w:proofErr w:type="gramStart"/>
      <w:r w:rsidRPr="002F2F3C">
        <w:rPr>
          <w:sz w:val="22"/>
          <w:lang w:val="en-GB"/>
        </w:rPr>
        <w:t xml:space="preserve">The epidemiology of cutaneous leishmaniasis in </w:t>
      </w:r>
      <w:smartTag w:uri="urn:schemas-microsoft-com:office:smarttags" w:element="place">
        <w:smartTag w:uri="urn:schemas-microsoft-com:office:smarttags" w:element="country-region">
          <w:r w:rsidRPr="002F2F3C">
            <w:rPr>
              <w:sz w:val="22"/>
              <w:lang w:val="en-GB"/>
            </w:rPr>
            <w:t>Ethiopia</w:t>
          </w:r>
        </w:smartTag>
      </w:smartTag>
      <w:r w:rsidRPr="002F2F3C">
        <w:rPr>
          <w:sz w:val="22"/>
          <w:lang w:val="en-GB"/>
        </w:rPr>
        <w:t>.</w:t>
      </w:r>
      <w:proofErr w:type="gramEnd"/>
      <w:r w:rsidRPr="002F2F3C">
        <w:rPr>
          <w:sz w:val="22"/>
          <w:lang w:val="en-GB"/>
        </w:rPr>
        <w:t xml:space="preserve"> Trans</w:t>
      </w:r>
      <w:r>
        <w:rPr>
          <w:sz w:val="22"/>
          <w:lang w:val="en-GB"/>
        </w:rPr>
        <w:t xml:space="preserve"> </w:t>
      </w:r>
      <w:r w:rsidRPr="002F2F3C">
        <w:rPr>
          <w:sz w:val="22"/>
          <w:lang w:val="en-GB"/>
        </w:rPr>
        <w:t xml:space="preserve">R Soc </w:t>
      </w:r>
      <w:proofErr w:type="spellStart"/>
      <w:r w:rsidRPr="002F2F3C">
        <w:rPr>
          <w:sz w:val="22"/>
          <w:lang w:val="en-GB"/>
        </w:rPr>
        <w:t>Trop</w:t>
      </w:r>
      <w:proofErr w:type="spellEnd"/>
      <w:r w:rsidRPr="002F2F3C">
        <w:rPr>
          <w:sz w:val="22"/>
          <w:lang w:val="en-GB"/>
        </w:rPr>
        <w:t xml:space="preserve"> Med </w:t>
      </w:r>
      <w:proofErr w:type="spellStart"/>
      <w:r w:rsidRPr="002F2F3C">
        <w:rPr>
          <w:sz w:val="22"/>
          <w:lang w:val="en-GB"/>
        </w:rPr>
        <w:t>Hy</w:t>
      </w:r>
      <w:r>
        <w:rPr>
          <w:sz w:val="22"/>
          <w:lang w:val="en-GB"/>
        </w:rPr>
        <w:t>g</w:t>
      </w:r>
      <w:proofErr w:type="spellEnd"/>
      <w:r>
        <w:rPr>
          <w:sz w:val="22"/>
          <w:lang w:val="en-GB"/>
        </w:rPr>
        <w:t xml:space="preserve"> </w:t>
      </w:r>
      <w:r w:rsidRPr="002F2F3C">
        <w:rPr>
          <w:sz w:val="22"/>
          <w:lang w:val="en-GB"/>
        </w:rPr>
        <w:t>67(4):568-602</w:t>
      </w:r>
      <w:r>
        <w:rPr>
          <w:sz w:val="22"/>
          <w:lang w:val="en-GB"/>
        </w:rPr>
        <w:t>.</w:t>
      </w:r>
    </w:p>
    <w:p w:rsidR="00560305" w:rsidRPr="002F2F3C" w:rsidRDefault="00560305" w:rsidP="00560305">
      <w:pPr>
        <w:ind w:left="0" w:firstLine="0"/>
        <w:rPr>
          <w:sz w:val="22"/>
          <w:lang w:val="en-GB"/>
        </w:rPr>
      </w:pPr>
    </w:p>
    <w:p w:rsidR="00560305" w:rsidRPr="002F2F3C" w:rsidRDefault="00560305" w:rsidP="00560305">
      <w:pPr>
        <w:ind w:left="0" w:firstLine="0"/>
        <w:jc w:val="left"/>
        <w:rPr>
          <w:rFonts w:eastAsia="SimSun"/>
          <w:sz w:val="22"/>
          <w:lang w:val="da-DK" w:eastAsia="zh-CN"/>
        </w:rPr>
      </w:pPr>
      <w:r w:rsidRPr="002F2F3C">
        <w:rPr>
          <w:rFonts w:eastAsia="SimSun"/>
          <w:sz w:val="22"/>
          <w:lang w:val="en-GB" w:eastAsia="zh-CN"/>
        </w:rPr>
        <w:t xml:space="preserve">2. </w:t>
      </w:r>
      <w:proofErr w:type="spellStart"/>
      <w:r w:rsidRPr="002F2F3C">
        <w:rPr>
          <w:rFonts w:eastAsia="SimSun"/>
          <w:sz w:val="22"/>
          <w:lang w:val="en-GB" w:eastAsia="zh-CN"/>
        </w:rPr>
        <w:t>Bryceson</w:t>
      </w:r>
      <w:proofErr w:type="spellEnd"/>
      <w:r w:rsidRPr="002F2F3C">
        <w:rPr>
          <w:rFonts w:eastAsia="SimSun"/>
          <w:sz w:val="22"/>
          <w:lang w:val="en-GB" w:eastAsia="zh-CN"/>
        </w:rPr>
        <w:t xml:space="preserve"> AD</w:t>
      </w:r>
      <w:r>
        <w:rPr>
          <w:rFonts w:eastAsia="SimSun"/>
          <w:sz w:val="22"/>
          <w:lang w:val="en-GB" w:eastAsia="zh-CN"/>
        </w:rPr>
        <w:t xml:space="preserve"> (1970)</w:t>
      </w:r>
      <w:r w:rsidRPr="002F2F3C">
        <w:rPr>
          <w:rFonts w:eastAsia="SimSun"/>
          <w:sz w:val="22"/>
          <w:lang w:val="en-GB" w:eastAsia="zh-CN"/>
        </w:rPr>
        <w:t xml:space="preserve">. Diffuse cutaneous leishmaniasis in </w:t>
      </w:r>
      <w:smartTag w:uri="urn:schemas-microsoft-com:office:smarttags" w:element="place">
        <w:smartTag w:uri="urn:schemas-microsoft-com:office:smarttags" w:element="country-region">
          <w:r w:rsidRPr="002F2F3C">
            <w:rPr>
              <w:rFonts w:eastAsia="SimSun"/>
              <w:sz w:val="22"/>
              <w:lang w:val="en-GB" w:eastAsia="zh-CN"/>
            </w:rPr>
            <w:t>Ethiopia</w:t>
          </w:r>
        </w:smartTag>
      </w:smartTag>
      <w:r w:rsidRPr="002F2F3C">
        <w:rPr>
          <w:rFonts w:eastAsia="SimSun"/>
          <w:sz w:val="22"/>
          <w:lang w:val="en-GB" w:eastAsia="zh-CN"/>
        </w:rPr>
        <w:t xml:space="preserve">. </w:t>
      </w:r>
      <w:r w:rsidRPr="002F2F3C">
        <w:rPr>
          <w:rFonts w:eastAsia="SimSun"/>
          <w:sz w:val="22"/>
          <w:lang w:val="da-DK" w:eastAsia="zh-CN"/>
        </w:rPr>
        <w:t>II. Treatment. Trans R Soc Trop Med Hyg</w:t>
      </w:r>
      <w:r>
        <w:rPr>
          <w:rFonts w:eastAsia="SimSun"/>
          <w:sz w:val="22"/>
          <w:lang w:val="da-DK" w:eastAsia="zh-CN"/>
        </w:rPr>
        <w:t xml:space="preserve"> </w:t>
      </w:r>
      <w:r w:rsidRPr="002F2F3C">
        <w:rPr>
          <w:rFonts w:eastAsia="SimSun"/>
          <w:sz w:val="22"/>
          <w:lang w:val="da-DK" w:eastAsia="zh-CN"/>
        </w:rPr>
        <w:t>64:369-379.</w:t>
      </w:r>
    </w:p>
    <w:p w:rsidR="00560305" w:rsidRPr="002F2F3C" w:rsidRDefault="00560305" w:rsidP="00560305">
      <w:pPr>
        <w:ind w:left="0" w:firstLine="0"/>
        <w:rPr>
          <w:sz w:val="22"/>
          <w:lang w:val="da-DK"/>
        </w:rPr>
      </w:pPr>
    </w:p>
    <w:p w:rsidR="00560305" w:rsidRPr="00B37375" w:rsidRDefault="00560305" w:rsidP="00560305">
      <w:pPr>
        <w:ind w:left="0" w:firstLine="0"/>
        <w:rPr>
          <w:sz w:val="22"/>
          <w:lang w:val="da-DK"/>
        </w:rPr>
      </w:pPr>
      <w:r w:rsidRPr="002F2F3C">
        <w:rPr>
          <w:sz w:val="22"/>
          <w:lang w:val="da-DK"/>
        </w:rPr>
        <w:t>3. Herrero M, Orfanos G, Argaw D, Mulugeta A, Aparicio P</w:t>
      </w:r>
      <w:r>
        <w:rPr>
          <w:sz w:val="22"/>
          <w:lang w:val="da-DK"/>
        </w:rPr>
        <w:t xml:space="preserve"> et al (2009)</w:t>
      </w:r>
      <w:r w:rsidRPr="002F2F3C">
        <w:rPr>
          <w:sz w:val="22"/>
          <w:lang w:val="da-DK"/>
        </w:rPr>
        <w:t>. Natural History of a Visceral Leishmaniasis Outbreak in Highland Ethiopia</w:t>
      </w:r>
      <w:r w:rsidRPr="004E0875">
        <w:rPr>
          <w:sz w:val="22"/>
          <w:lang w:val="da-DK"/>
        </w:rPr>
        <w:t xml:space="preserve">. </w:t>
      </w:r>
      <w:r w:rsidRPr="004E0875">
        <w:rPr>
          <w:iCs/>
          <w:sz w:val="22"/>
          <w:lang w:val="da-DK"/>
        </w:rPr>
        <w:t xml:space="preserve">Am </w:t>
      </w:r>
      <w:r>
        <w:rPr>
          <w:iCs/>
          <w:sz w:val="22"/>
          <w:lang w:val="da-DK"/>
        </w:rPr>
        <w:t>J</w:t>
      </w:r>
      <w:r w:rsidRPr="004E0875">
        <w:rPr>
          <w:iCs/>
          <w:sz w:val="22"/>
          <w:lang w:val="da-DK"/>
        </w:rPr>
        <w:t xml:space="preserve"> Trop</w:t>
      </w:r>
      <w:r>
        <w:rPr>
          <w:iCs/>
          <w:sz w:val="22"/>
          <w:lang w:val="da-DK"/>
        </w:rPr>
        <w:t xml:space="preserve"> </w:t>
      </w:r>
      <w:r w:rsidRPr="004E0875">
        <w:rPr>
          <w:iCs/>
          <w:sz w:val="22"/>
          <w:lang w:val="da-DK"/>
        </w:rPr>
        <w:t>Med Hyg</w:t>
      </w:r>
      <w:r w:rsidRPr="00B37375">
        <w:rPr>
          <w:i/>
          <w:iCs/>
          <w:sz w:val="22"/>
          <w:lang w:val="da-DK"/>
        </w:rPr>
        <w:t xml:space="preserve"> </w:t>
      </w:r>
      <w:r w:rsidRPr="00B37375">
        <w:rPr>
          <w:sz w:val="22"/>
          <w:lang w:val="da-DK"/>
        </w:rPr>
        <w:t>81(3)</w:t>
      </w:r>
      <w:r>
        <w:rPr>
          <w:sz w:val="22"/>
          <w:lang w:val="da-DK"/>
        </w:rPr>
        <w:t>:373-7.</w:t>
      </w:r>
    </w:p>
    <w:p w:rsidR="00560305" w:rsidRPr="00B37375" w:rsidRDefault="00560305" w:rsidP="00560305">
      <w:pPr>
        <w:ind w:left="0" w:firstLine="0"/>
        <w:rPr>
          <w:sz w:val="22"/>
          <w:lang w:val="da-DK"/>
        </w:rPr>
      </w:pPr>
    </w:p>
    <w:p w:rsidR="00560305" w:rsidRPr="00B37375" w:rsidRDefault="00560305" w:rsidP="00560305">
      <w:pPr>
        <w:shd w:val="clear" w:color="auto" w:fill="FFFFFF"/>
        <w:ind w:left="0" w:firstLine="0"/>
        <w:rPr>
          <w:rFonts w:eastAsia="SimSun"/>
          <w:sz w:val="22"/>
          <w:lang w:val="en-GB" w:eastAsia="zh-CN"/>
        </w:rPr>
      </w:pPr>
      <w:r w:rsidRPr="00B37375">
        <w:rPr>
          <w:sz w:val="22"/>
          <w:lang w:val="da-DK"/>
        </w:rPr>
        <w:t xml:space="preserve">4. </w:t>
      </w:r>
      <w:r w:rsidRPr="00B37375">
        <w:rPr>
          <w:rFonts w:eastAsia="SimSun"/>
          <w:sz w:val="22"/>
          <w:lang w:val="da-DK" w:eastAsia="zh-CN"/>
        </w:rPr>
        <w:t>Bashaye S, Nombela N, Argaw D, Mulugeta A, Herrero M</w:t>
      </w:r>
      <w:r>
        <w:rPr>
          <w:rFonts w:eastAsia="SimSun"/>
          <w:sz w:val="22"/>
          <w:lang w:val="da-DK" w:eastAsia="zh-CN"/>
        </w:rPr>
        <w:t xml:space="preserve"> et al (2009)</w:t>
      </w:r>
      <w:r w:rsidRPr="00B37375">
        <w:rPr>
          <w:rFonts w:eastAsia="SimSun"/>
          <w:sz w:val="22"/>
          <w:lang w:val="da-DK" w:eastAsia="zh-CN"/>
        </w:rPr>
        <w:t xml:space="preserve">. </w:t>
      </w:r>
      <w:r w:rsidRPr="00B37375">
        <w:rPr>
          <w:rFonts w:eastAsia="SimSun"/>
          <w:sz w:val="22"/>
          <w:lang w:val="da-DK" w:eastAsia="zh-CN"/>
        </w:rPr>
        <w:fldChar w:fldCharType="begin"/>
      </w:r>
      <w:r w:rsidRPr="00B37375">
        <w:rPr>
          <w:rFonts w:eastAsia="SimSun"/>
          <w:sz w:val="22"/>
          <w:lang w:val="da-DK" w:eastAsia="zh-CN"/>
        </w:rPr>
        <w:instrText xml:space="preserve"> HYPERLINK "http://www.ncbi.nlm.nih.gov/pubmed/19556563" </w:instrText>
      </w:r>
      <w:r w:rsidRPr="00677F93">
        <w:rPr>
          <w:rFonts w:eastAsia="SimSun"/>
          <w:sz w:val="22"/>
          <w:lang w:val="da-DK" w:eastAsia="zh-CN"/>
        </w:rPr>
      </w:r>
      <w:r w:rsidRPr="00B37375">
        <w:rPr>
          <w:rFonts w:eastAsia="SimSun"/>
          <w:sz w:val="22"/>
          <w:lang w:val="da-DK" w:eastAsia="zh-CN"/>
        </w:rPr>
        <w:fldChar w:fldCharType="separate"/>
      </w:r>
      <w:proofErr w:type="gramStart"/>
      <w:r w:rsidRPr="002F2F3C">
        <w:rPr>
          <w:rFonts w:eastAsia="SimSun"/>
          <w:sz w:val="22"/>
          <w:lang w:val="en-GB" w:eastAsia="zh-CN"/>
        </w:rPr>
        <w:t xml:space="preserve">Risk factors for visceral leishmaniasis in a new epidemic site in </w:t>
      </w:r>
      <w:proofErr w:type="spellStart"/>
      <w:r w:rsidRPr="002F2F3C">
        <w:rPr>
          <w:rFonts w:eastAsia="SimSun"/>
          <w:sz w:val="22"/>
          <w:lang w:val="en-GB" w:eastAsia="zh-CN"/>
        </w:rPr>
        <w:t>Amhara</w:t>
      </w:r>
      <w:proofErr w:type="spellEnd"/>
      <w:r w:rsidRPr="002F2F3C">
        <w:rPr>
          <w:rFonts w:eastAsia="SimSun"/>
          <w:sz w:val="22"/>
          <w:lang w:val="en-GB" w:eastAsia="zh-CN"/>
        </w:rPr>
        <w:t xml:space="preserve"> Region, Ethiopia.</w:t>
      </w:r>
      <w:proofErr w:type="gramEnd"/>
      <w:r w:rsidRPr="00B37375">
        <w:rPr>
          <w:rFonts w:eastAsia="SimSun"/>
          <w:sz w:val="22"/>
          <w:lang w:val="da-DK" w:eastAsia="zh-CN"/>
        </w:rPr>
        <w:fldChar w:fldCharType="end"/>
      </w:r>
      <w:r w:rsidRPr="002F2F3C">
        <w:rPr>
          <w:rFonts w:eastAsia="SimSun"/>
          <w:sz w:val="22"/>
          <w:lang w:val="en-GB" w:eastAsia="zh-CN"/>
        </w:rPr>
        <w:t xml:space="preserve"> </w:t>
      </w:r>
      <w:r w:rsidRPr="00B37375">
        <w:rPr>
          <w:rFonts w:eastAsia="SimSun"/>
          <w:sz w:val="22"/>
          <w:lang w:val="en-GB" w:eastAsia="zh-CN"/>
        </w:rPr>
        <w:t xml:space="preserve">Am J </w:t>
      </w:r>
      <w:proofErr w:type="spellStart"/>
      <w:r w:rsidRPr="00B37375">
        <w:rPr>
          <w:rFonts w:eastAsia="SimSun"/>
          <w:sz w:val="22"/>
          <w:lang w:val="en-GB" w:eastAsia="zh-CN"/>
        </w:rPr>
        <w:t>Trop</w:t>
      </w:r>
      <w:proofErr w:type="spellEnd"/>
      <w:r w:rsidRPr="00B37375">
        <w:rPr>
          <w:rFonts w:eastAsia="SimSun"/>
          <w:sz w:val="22"/>
          <w:lang w:val="en-GB" w:eastAsia="zh-CN"/>
        </w:rPr>
        <w:t xml:space="preserve"> Med </w:t>
      </w:r>
      <w:proofErr w:type="spellStart"/>
      <w:r w:rsidRPr="00B37375">
        <w:rPr>
          <w:rFonts w:eastAsia="SimSun"/>
          <w:sz w:val="22"/>
          <w:lang w:val="en-GB" w:eastAsia="zh-CN"/>
        </w:rPr>
        <w:t>Hyg</w:t>
      </w:r>
      <w:proofErr w:type="spellEnd"/>
      <w:r w:rsidRPr="00B37375">
        <w:rPr>
          <w:rFonts w:eastAsia="SimSun"/>
          <w:sz w:val="22"/>
          <w:lang w:val="en-GB" w:eastAsia="zh-CN"/>
        </w:rPr>
        <w:t xml:space="preserve"> 81(1):34-</w:t>
      </w:r>
      <w:proofErr w:type="gramStart"/>
      <w:r w:rsidRPr="00B37375">
        <w:rPr>
          <w:rFonts w:eastAsia="SimSun"/>
          <w:sz w:val="22"/>
          <w:lang w:val="en-GB" w:eastAsia="zh-CN"/>
        </w:rPr>
        <w:t>9.</w:t>
      </w:r>
      <w:proofErr w:type="gramEnd"/>
    </w:p>
    <w:p w:rsidR="00560305" w:rsidRPr="002F2F3C" w:rsidRDefault="00560305" w:rsidP="00560305">
      <w:pPr>
        <w:ind w:left="0" w:firstLine="0"/>
        <w:rPr>
          <w:sz w:val="22"/>
          <w:lang w:val="en-US"/>
        </w:rPr>
      </w:pPr>
    </w:p>
    <w:p w:rsidR="00560305" w:rsidRPr="002F2F3C" w:rsidRDefault="00560305" w:rsidP="00560305">
      <w:pPr>
        <w:ind w:left="0" w:firstLine="0"/>
        <w:rPr>
          <w:sz w:val="22"/>
          <w:lang w:val="en-US"/>
        </w:rPr>
      </w:pPr>
      <w:r w:rsidRPr="00B024D7">
        <w:rPr>
          <w:sz w:val="22"/>
          <w:lang w:val="nl-NL"/>
        </w:rPr>
        <w:t>5. Negera E, Gadissa E, Yamuah L, Engers H, Hussein J</w:t>
      </w:r>
      <w:r>
        <w:rPr>
          <w:sz w:val="22"/>
          <w:lang w:val="nl-NL"/>
        </w:rPr>
        <w:t xml:space="preserve"> </w:t>
      </w:r>
      <w:r w:rsidRPr="00B024D7">
        <w:rPr>
          <w:sz w:val="22"/>
          <w:lang w:val="nl-NL"/>
        </w:rPr>
        <w:t>et al</w:t>
      </w:r>
      <w:r>
        <w:rPr>
          <w:sz w:val="22"/>
          <w:lang w:val="nl-NL"/>
        </w:rPr>
        <w:t xml:space="preserve"> (2008)</w:t>
      </w:r>
      <w:r w:rsidRPr="00B024D7">
        <w:rPr>
          <w:sz w:val="22"/>
          <w:lang w:val="nl-NL"/>
        </w:rPr>
        <w:t xml:space="preserve">. </w:t>
      </w:r>
      <w:r w:rsidRPr="002F2F3C">
        <w:rPr>
          <w:sz w:val="22"/>
          <w:lang w:val="en-US"/>
        </w:rPr>
        <w:t xml:space="preserve">Outbreak of cutaneous leishmaniasis in </w:t>
      </w:r>
      <w:proofErr w:type="spellStart"/>
      <w:r w:rsidRPr="002F2F3C">
        <w:rPr>
          <w:sz w:val="22"/>
          <w:lang w:val="en-US"/>
        </w:rPr>
        <w:t>Silti</w:t>
      </w:r>
      <w:proofErr w:type="spellEnd"/>
      <w:r w:rsidRPr="002F2F3C">
        <w:rPr>
          <w:sz w:val="22"/>
          <w:lang w:val="en-US"/>
        </w:rPr>
        <w:t xml:space="preserve"> </w:t>
      </w:r>
      <w:proofErr w:type="spellStart"/>
      <w:r w:rsidRPr="002F2F3C">
        <w:rPr>
          <w:sz w:val="22"/>
          <w:lang w:val="en-US"/>
        </w:rPr>
        <w:t>woreda</w:t>
      </w:r>
      <w:proofErr w:type="spellEnd"/>
      <w:r w:rsidRPr="002F2F3C">
        <w:rPr>
          <w:sz w:val="22"/>
          <w:lang w:val="en-US"/>
        </w:rPr>
        <w:t xml:space="preserve">, Ethiopia: risk factor assessment and causative agent identification. Trans R Soc </w:t>
      </w:r>
      <w:proofErr w:type="spellStart"/>
      <w:r w:rsidRPr="002F2F3C">
        <w:rPr>
          <w:sz w:val="22"/>
          <w:lang w:val="en-US"/>
        </w:rPr>
        <w:t>Trop</w:t>
      </w:r>
      <w:proofErr w:type="spellEnd"/>
      <w:r w:rsidRPr="002F2F3C">
        <w:rPr>
          <w:sz w:val="22"/>
          <w:lang w:val="en-US"/>
        </w:rPr>
        <w:t xml:space="preserve"> Med </w:t>
      </w:r>
      <w:proofErr w:type="spellStart"/>
      <w:r w:rsidRPr="002F2F3C">
        <w:rPr>
          <w:sz w:val="22"/>
          <w:lang w:val="en-US"/>
        </w:rPr>
        <w:t>Hyg</w:t>
      </w:r>
      <w:proofErr w:type="spellEnd"/>
      <w:r>
        <w:rPr>
          <w:sz w:val="22"/>
          <w:lang w:val="en-US"/>
        </w:rPr>
        <w:t xml:space="preserve"> </w:t>
      </w:r>
      <w:r w:rsidRPr="002F2F3C">
        <w:rPr>
          <w:sz w:val="22"/>
          <w:lang w:val="en-US"/>
        </w:rPr>
        <w:t>102(9):883-890</w:t>
      </w:r>
      <w:r>
        <w:rPr>
          <w:sz w:val="22"/>
          <w:lang w:val="en-US"/>
        </w:rPr>
        <w:t>.</w:t>
      </w:r>
    </w:p>
    <w:p w:rsidR="00560305" w:rsidRPr="002F2F3C" w:rsidRDefault="00560305" w:rsidP="00560305">
      <w:pPr>
        <w:ind w:left="0" w:firstLine="0"/>
        <w:rPr>
          <w:sz w:val="22"/>
          <w:lang w:val="en-US"/>
        </w:rPr>
      </w:pPr>
    </w:p>
    <w:p w:rsidR="00560305" w:rsidRPr="002F2F3C" w:rsidRDefault="00560305" w:rsidP="00560305">
      <w:pPr>
        <w:ind w:left="0" w:firstLine="0"/>
        <w:rPr>
          <w:sz w:val="22"/>
          <w:lang w:val="en-US"/>
        </w:rPr>
      </w:pPr>
      <w:r w:rsidRPr="00B024D7">
        <w:rPr>
          <w:sz w:val="22"/>
          <w:lang w:val="nl-NL"/>
        </w:rPr>
        <w:t>6. Alvar J, Aparicio P, Aseffa A, Den Boer M, Cañavate C</w:t>
      </w:r>
      <w:r>
        <w:rPr>
          <w:sz w:val="22"/>
          <w:lang w:val="nl-NL"/>
        </w:rPr>
        <w:t xml:space="preserve"> </w:t>
      </w:r>
      <w:r w:rsidRPr="00B024D7">
        <w:rPr>
          <w:sz w:val="22"/>
          <w:lang w:val="nl-NL"/>
        </w:rPr>
        <w:t>et al</w:t>
      </w:r>
      <w:r>
        <w:rPr>
          <w:sz w:val="22"/>
          <w:lang w:val="nl-NL"/>
        </w:rPr>
        <w:t xml:space="preserve"> (2008)</w:t>
      </w:r>
      <w:r w:rsidRPr="00B024D7">
        <w:rPr>
          <w:sz w:val="22"/>
          <w:lang w:val="nl-NL"/>
        </w:rPr>
        <w:t xml:space="preserve">. </w:t>
      </w:r>
      <w:r w:rsidRPr="002F2F3C">
        <w:rPr>
          <w:sz w:val="22"/>
          <w:lang w:val="en-US"/>
        </w:rPr>
        <w:t>The Relationship between Leishmaniasis and AIDS: the Second 10 Years</w:t>
      </w:r>
      <w:r>
        <w:rPr>
          <w:sz w:val="22"/>
          <w:lang w:val="en-US"/>
        </w:rPr>
        <w:t>.</w:t>
      </w:r>
      <w:r w:rsidRPr="002F2F3C">
        <w:rPr>
          <w:sz w:val="22"/>
          <w:lang w:val="en-US"/>
        </w:rPr>
        <w:t xml:space="preserve"> </w:t>
      </w:r>
      <w:proofErr w:type="spellStart"/>
      <w:r w:rsidRPr="002F2F3C">
        <w:rPr>
          <w:sz w:val="22"/>
          <w:lang w:val="en-US"/>
        </w:rPr>
        <w:t>Clin</w:t>
      </w:r>
      <w:proofErr w:type="spellEnd"/>
      <w:r w:rsidRPr="002F2F3C">
        <w:rPr>
          <w:sz w:val="22"/>
          <w:lang w:val="en-US"/>
        </w:rPr>
        <w:t xml:space="preserve"> </w:t>
      </w:r>
      <w:proofErr w:type="spellStart"/>
      <w:r w:rsidRPr="002F2F3C">
        <w:rPr>
          <w:sz w:val="22"/>
          <w:lang w:val="en-US"/>
        </w:rPr>
        <w:t>Microb</w:t>
      </w:r>
      <w:proofErr w:type="spellEnd"/>
      <w:r w:rsidRPr="002F2F3C">
        <w:rPr>
          <w:sz w:val="22"/>
          <w:lang w:val="en-US"/>
        </w:rPr>
        <w:t xml:space="preserve"> Rev</w:t>
      </w:r>
      <w:r>
        <w:rPr>
          <w:sz w:val="22"/>
          <w:lang w:val="en-US"/>
        </w:rPr>
        <w:t xml:space="preserve"> 21(2):</w:t>
      </w:r>
      <w:r w:rsidRPr="002F2F3C">
        <w:rPr>
          <w:sz w:val="22"/>
          <w:lang w:val="en-US"/>
        </w:rPr>
        <w:t>334–359</w:t>
      </w:r>
      <w:r>
        <w:rPr>
          <w:sz w:val="22"/>
          <w:lang w:val="en-US"/>
        </w:rPr>
        <w:t>.</w:t>
      </w:r>
      <w:r w:rsidRPr="002F2F3C">
        <w:rPr>
          <w:sz w:val="22"/>
          <w:lang w:val="en-US"/>
        </w:rPr>
        <w:t xml:space="preserve"> </w:t>
      </w:r>
    </w:p>
    <w:p w:rsidR="00560305" w:rsidRPr="002F2F3C" w:rsidRDefault="00560305" w:rsidP="00560305">
      <w:pPr>
        <w:ind w:left="0" w:firstLine="0"/>
        <w:rPr>
          <w:rStyle w:val="src"/>
          <w:sz w:val="22"/>
          <w:lang w:val="en-US" w:eastAsia="es-CO"/>
        </w:rPr>
      </w:pPr>
    </w:p>
    <w:p w:rsidR="00560305" w:rsidRDefault="00560305" w:rsidP="00560305">
      <w:pPr>
        <w:ind w:left="0" w:firstLine="0"/>
        <w:rPr>
          <w:rStyle w:val="src"/>
          <w:sz w:val="22"/>
          <w:lang w:val="en-US" w:eastAsia="es-CO"/>
        </w:rPr>
      </w:pPr>
      <w:r w:rsidRPr="002F2F3C">
        <w:rPr>
          <w:rStyle w:val="src"/>
          <w:sz w:val="22"/>
          <w:lang w:val="en-US" w:eastAsia="es-CO"/>
        </w:rPr>
        <w:t xml:space="preserve">7. Horst R </w:t>
      </w:r>
      <w:proofErr w:type="spellStart"/>
      <w:r w:rsidRPr="002F2F3C">
        <w:rPr>
          <w:rStyle w:val="src"/>
          <w:sz w:val="22"/>
          <w:lang w:val="en-US" w:eastAsia="es-CO"/>
        </w:rPr>
        <w:t>ter</w:t>
      </w:r>
      <w:proofErr w:type="spellEnd"/>
      <w:r w:rsidRPr="002F2F3C">
        <w:rPr>
          <w:rStyle w:val="src"/>
          <w:sz w:val="22"/>
          <w:lang w:val="en-US" w:eastAsia="es-CO"/>
        </w:rPr>
        <w:t xml:space="preserve">, Collin SM, </w:t>
      </w:r>
      <w:proofErr w:type="spellStart"/>
      <w:r w:rsidRPr="002F2F3C">
        <w:rPr>
          <w:rStyle w:val="src"/>
          <w:sz w:val="22"/>
          <w:lang w:val="en-US" w:eastAsia="es-CO"/>
        </w:rPr>
        <w:t>Ritmeijer</w:t>
      </w:r>
      <w:proofErr w:type="spellEnd"/>
      <w:r w:rsidRPr="002F2F3C">
        <w:rPr>
          <w:rStyle w:val="src"/>
          <w:sz w:val="22"/>
          <w:lang w:val="en-US" w:eastAsia="es-CO"/>
        </w:rPr>
        <w:t xml:space="preserve"> K, </w:t>
      </w:r>
      <w:proofErr w:type="spellStart"/>
      <w:r w:rsidRPr="002F2F3C">
        <w:rPr>
          <w:rStyle w:val="src"/>
          <w:sz w:val="22"/>
          <w:lang w:val="en-US" w:eastAsia="es-CO"/>
        </w:rPr>
        <w:t>Bogale</w:t>
      </w:r>
      <w:proofErr w:type="spellEnd"/>
      <w:r w:rsidRPr="002F2F3C">
        <w:rPr>
          <w:rStyle w:val="src"/>
          <w:sz w:val="22"/>
          <w:lang w:val="en-US" w:eastAsia="es-CO"/>
        </w:rPr>
        <w:t xml:space="preserve"> A, Davidson RN</w:t>
      </w:r>
      <w:r>
        <w:rPr>
          <w:rStyle w:val="src"/>
          <w:sz w:val="22"/>
          <w:lang w:val="en-US" w:eastAsia="es-CO"/>
        </w:rPr>
        <w:t xml:space="preserve"> (2008)</w:t>
      </w:r>
      <w:r w:rsidRPr="002F2F3C">
        <w:rPr>
          <w:rStyle w:val="src"/>
          <w:sz w:val="22"/>
          <w:lang w:val="en-US" w:eastAsia="es-CO"/>
        </w:rPr>
        <w:t xml:space="preserve">. Concordant HIV Infection and Visceral Leishmaniasis in </w:t>
      </w:r>
      <w:smartTag w:uri="urn:schemas-microsoft-com:office:smarttags" w:element="place">
        <w:smartTag w:uri="urn:schemas-microsoft-com:office:smarttags" w:element="country-region">
          <w:r w:rsidRPr="002F2F3C">
            <w:rPr>
              <w:rStyle w:val="src"/>
              <w:sz w:val="22"/>
              <w:lang w:val="en-US" w:eastAsia="es-CO"/>
            </w:rPr>
            <w:t>Ethiopia</w:t>
          </w:r>
        </w:smartTag>
      </w:smartTag>
      <w:r w:rsidRPr="002F2F3C">
        <w:rPr>
          <w:rStyle w:val="src"/>
          <w:sz w:val="22"/>
          <w:lang w:val="en-US" w:eastAsia="es-CO"/>
        </w:rPr>
        <w:t xml:space="preserve">: The </w:t>
      </w:r>
      <w:proofErr w:type="spellStart"/>
      <w:r w:rsidRPr="002F2F3C">
        <w:rPr>
          <w:rStyle w:val="src"/>
          <w:sz w:val="22"/>
          <w:lang w:val="en-US" w:eastAsia="es-CO"/>
        </w:rPr>
        <w:t>Inﬂuence</w:t>
      </w:r>
      <w:proofErr w:type="spellEnd"/>
      <w:r w:rsidRPr="002F2F3C">
        <w:rPr>
          <w:rStyle w:val="src"/>
          <w:sz w:val="22"/>
          <w:lang w:val="en-US" w:eastAsia="es-CO"/>
        </w:rPr>
        <w:t xml:space="preserve"> of Antiretroviral Treatment and Other Factors on Outcome. </w:t>
      </w:r>
      <w:proofErr w:type="spellStart"/>
      <w:r w:rsidRPr="002F2F3C">
        <w:rPr>
          <w:rStyle w:val="src"/>
          <w:sz w:val="22"/>
          <w:lang w:val="en-US" w:eastAsia="es-CO"/>
        </w:rPr>
        <w:t>Clin</w:t>
      </w:r>
      <w:proofErr w:type="spellEnd"/>
      <w:r w:rsidRPr="002F2F3C">
        <w:rPr>
          <w:rStyle w:val="src"/>
          <w:sz w:val="22"/>
          <w:lang w:val="en-US" w:eastAsia="es-CO"/>
        </w:rPr>
        <w:t xml:space="preserve"> Infect </w:t>
      </w:r>
      <w:proofErr w:type="spellStart"/>
      <w:r w:rsidRPr="002F2F3C">
        <w:rPr>
          <w:rStyle w:val="src"/>
          <w:sz w:val="22"/>
          <w:lang w:val="en-US" w:eastAsia="es-CO"/>
        </w:rPr>
        <w:t>Dis</w:t>
      </w:r>
      <w:proofErr w:type="spellEnd"/>
      <w:r w:rsidRPr="002F2F3C">
        <w:rPr>
          <w:rStyle w:val="src"/>
          <w:sz w:val="22"/>
          <w:lang w:val="en-US" w:eastAsia="es-CO"/>
        </w:rPr>
        <w:t xml:space="preserve"> 46:1702–9</w:t>
      </w:r>
      <w:r>
        <w:rPr>
          <w:rStyle w:val="src"/>
          <w:sz w:val="22"/>
          <w:lang w:val="en-US" w:eastAsia="es-CO"/>
        </w:rPr>
        <w:t>.</w:t>
      </w:r>
    </w:p>
    <w:p w:rsidR="00560305" w:rsidRDefault="00560305" w:rsidP="00560305">
      <w:pPr>
        <w:ind w:left="0" w:firstLine="0"/>
        <w:rPr>
          <w:rStyle w:val="src"/>
          <w:sz w:val="22"/>
          <w:lang w:val="en-US" w:eastAsia="es-CO"/>
        </w:rPr>
      </w:pPr>
    </w:p>
    <w:p w:rsidR="00560305" w:rsidRDefault="00560305" w:rsidP="00560305">
      <w:pPr>
        <w:ind w:left="0" w:firstLine="0"/>
        <w:rPr>
          <w:rStyle w:val="src"/>
          <w:sz w:val="22"/>
          <w:lang w:val="en-US" w:eastAsia="es-CO"/>
        </w:rPr>
      </w:pPr>
    </w:p>
    <w:p w:rsidR="00560305" w:rsidRDefault="00560305" w:rsidP="00560305">
      <w:pPr>
        <w:ind w:left="0" w:firstLine="0"/>
        <w:rPr>
          <w:rStyle w:val="src"/>
          <w:sz w:val="22"/>
          <w:lang w:val="en-US" w:eastAsia="es-CO"/>
        </w:rPr>
      </w:pPr>
    </w:p>
    <w:p w:rsidR="00560305" w:rsidRDefault="00560305" w:rsidP="00560305">
      <w:pPr>
        <w:ind w:left="0" w:firstLine="0"/>
        <w:rPr>
          <w:rStyle w:val="src"/>
          <w:sz w:val="22"/>
          <w:lang w:val="en-US" w:eastAsia="es-CO"/>
        </w:rPr>
      </w:pPr>
    </w:p>
    <w:p w:rsidR="00560305" w:rsidRPr="002F2F3C" w:rsidRDefault="00560305" w:rsidP="00560305">
      <w:pPr>
        <w:ind w:left="0" w:firstLine="0"/>
        <w:rPr>
          <w:rStyle w:val="src"/>
          <w:sz w:val="22"/>
          <w:lang w:val="en-US" w:eastAsia="es-CO"/>
        </w:rPr>
      </w:pPr>
    </w:p>
    <w:p w:rsidR="00560305" w:rsidRPr="002F2F3C" w:rsidRDefault="00560305" w:rsidP="00560305">
      <w:pPr>
        <w:ind w:left="0" w:firstLine="0"/>
        <w:rPr>
          <w:rStyle w:val="src"/>
          <w:sz w:val="22"/>
          <w:lang w:val="en-US" w:eastAsia="es-CO"/>
        </w:rPr>
      </w:pPr>
    </w:p>
    <w:p w:rsidR="00560305" w:rsidRDefault="00560305" w:rsidP="00560305">
      <w:pPr>
        <w:ind w:left="0" w:firstLine="0"/>
        <w:rPr>
          <w:rStyle w:val="src"/>
          <w:color w:val="FF0000"/>
          <w:sz w:val="22"/>
          <w:lang w:val="es-ES" w:eastAsia="es-CO"/>
        </w:rPr>
      </w:pPr>
    </w:p>
    <w:p w:rsidR="00560305" w:rsidRDefault="00560305" w:rsidP="00560305">
      <w:pPr>
        <w:ind w:left="0" w:firstLine="0"/>
        <w:rPr>
          <w:rStyle w:val="src"/>
          <w:color w:val="FF0000"/>
          <w:sz w:val="22"/>
          <w:lang w:val="es-ES" w:eastAsia="es-CO"/>
        </w:rPr>
      </w:pPr>
    </w:p>
    <w:p w:rsidR="00560305" w:rsidRPr="00984ED5" w:rsidRDefault="00560305" w:rsidP="00560305">
      <w:pPr>
        <w:shd w:val="clear" w:color="auto" w:fill="FFFFFF"/>
        <w:spacing w:line="432" w:lineRule="atLeast"/>
        <w:ind w:left="420" w:firstLine="0"/>
        <w:jc w:val="left"/>
        <w:rPr>
          <w:rFonts w:eastAsia="SimSun"/>
          <w:sz w:val="22"/>
          <w:lang w:val="en-GB" w:eastAsia="zh-CN"/>
        </w:rPr>
      </w:pPr>
      <w:r w:rsidRPr="00984ED5">
        <w:rPr>
          <w:rFonts w:eastAsia="SimSun"/>
          <w:sz w:val="22"/>
          <w:lang w:val="en-GB" w:eastAsia="zh-CN"/>
        </w:rPr>
        <w:t xml:space="preserve"> </w:t>
      </w:r>
    </w:p>
    <w:p w:rsidR="00560305" w:rsidRPr="00984ED5" w:rsidRDefault="00560305" w:rsidP="00560305">
      <w:pPr>
        <w:shd w:val="clear" w:color="auto" w:fill="FFFFFF"/>
        <w:spacing w:before="100" w:beforeAutospacing="1" w:after="100" w:afterAutospacing="1" w:line="432" w:lineRule="atLeast"/>
        <w:ind w:left="420" w:firstLine="0"/>
        <w:jc w:val="left"/>
        <w:rPr>
          <w:rFonts w:eastAsia="SimSun"/>
          <w:sz w:val="21"/>
          <w:szCs w:val="21"/>
          <w:lang w:val="en-GB" w:eastAsia="zh-CN"/>
        </w:rPr>
      </w:pPr>
    </w:p>
    <w:sectPr w:rsidR="00560305" w:rsidRPr="00984ED5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CE9"/>
    <w:multiLevelType w:val="hybridMultilevel"/>
    <w:tmpl w:val="69EC07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0305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D18CA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60305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05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56030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src">
    <w:name w:val="src"/>
    <w:basedOn w:val="DefaultParagraphFont"/>
    <w:rsid w:val="00560305"/>
  </w:style>
  <w:style w:type="paragraph" w:customStyle="1" w:styleId="Sinespaciado">
    <w:name w:val="Sin espaciado"/>
    <w:link w:val="SinespaciadoCar"/>
    <w:qFormat/>
    <w:rsid w:val="0056030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DefaultParagraphFont"/>
    <w:link w:val="Sinespaciado"/>
    <w:rsid w:val="00560305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05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401459854014598"/>
          <c:y val="3.7190082644628114E-2"/>
          <c:w val="0.87773722627737272"/>
          <c:h val="0.752066115702479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1403</c:v>
                </c:pt>
                <c:pt idx="1">
                  <c:v>2585</c:v>
                </c:pt>
                <c:pt idx="2">
                  <c:v>2375</c:v>
                </c:pt>
                <c:pt idx="3">
                  <c:v>1579</c:v>
                </c:pt>
                <c:pt idx="4">
                  <c:v>1356</c:v>
                </c:pt>
                <c:pt idx="5">
                  <c:v>1083</c:v>
                </c:pt>
                <c:pt idx="6">
                  <c:v>1936</c:v>
                </c:pt>
              </c:numCache>
            </c:numRef>
          </c:val>
        </c:ser>
        <c:gapDepth val="0"/>
        <c:shape val="box"/>
        <c:axId val="267576448"/>
        <c:axId val="267578368"/>
        <c:axId val="0"/>
      </c:bar3DChart>
      <c:catAx>
        <c:axId val="267576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578368"/>
        <c:crosses val="autoZero"/>
        <c:auto val="1"/>
        <c:lblAlgn val="ctr"/>
        <c:lblOffset val="100"/>
        <c:tickLblSkip val="1"/>
        <c:tickMarkSkip val="1"/>
      </c:catAx>
      <c:valAx>
        <c:axId val="2675783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576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2012-04-01T20:46:00Z</dcterms:created>
  <dcterms:modified xsi:type="dcterms:W3CDTF">2012-04-01T20:49:00Z</dcterms:modified>
</cp:coreProperties>
</file>