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4E20" w:rsidRPr="00E659B4" w:rsidRDefault="00484E20" w:rsidP="00484E20">
      <w:pPr>
        <w:ind w:left="0" w:firstLine="0"/>
        <w:rPr>
          <w:b/>
          <w:sz w:val="22"/>
          <w:u w:val="single"/>
          <w:lang w:val="en-US"/>
        </w:rPr>
      </w:pPr>
      <w:smartTag w:uri="urn:schemas-microsoft-com:office:smarttags" w:element="place">
        <w:smartTag w:uri="urn:schemas-microsoft-com:office:smarttags" w:element="country-region">
          <w:r w:rsidRPr="00E659B4">
            <w:rPr>
              <w:b/>
              <w:sz w:val="22"/>
              <w:u w:val="single"/>
              <w:lang w:val="en-US"/>
            </w:rPr>
            <w:t>ERITREA</w:t>
          </w:r>
        </w:smartTag>
      </w:smartTag>
    </w:p>
    <w:p w:rsidR="00484E20" w:rsidRDefault="00484E20" w:rsidP="00484E20">
      <w:pPr>
        <w:ind w:left="0" w:firstLine="0"/>
        <w:rPr>
          <w:sz w:val="22"/>
          <w:lang w:val="en-GB"/>
        </w:rPr>
      </w:pPr>
    </w:p>
    <w:p w:rsidR="00484E20" w:rsidRPr="002C75B8" w:rsidRDefault="00484E20" w:rsidP="00484E20">
      <w:pPr>
        <w:ind w:left="0" w:firstLine="0"/>
        <w:rPr>
          <w:sz w:val="22"/>
          <w:lang w:val="en-GB"/>
        </w:rPr>
      </w:pPr>
      <w:r>
        <w:rPr>
          <w:noProof/>
          <w:sz w:val="22"/>
          <w:lang w:val="en-US"/>
        </w:rPr>
        <w:drawing>
          <wp:inline distT="0" distB="0" distL="0" distR="0">
            <wp:extent cx="2789555" cy="1939925"/>
            <wp:effectExtent l="19050" t="0" r="0" b="0"/>
            <wp:docPr id="2" name="19 Imagen" descr="ERWOR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 Imagen" descr="ERWORLD.jpg"/>
                    <pic:cNvPicPr>
                      <a:picLocks noChangeAspect="1"/>
                    </pic:cNvPicPr>
                  </pic:nvPicPr>
                  <pic:blipFill>
                    <a:blip r:embed="rId5" cstate="print"/>
                    <a:srcRect/>
                    <a:stretch>
                      <a:fillRect/>
                    </a:stretch>
                  </pic:blipFill>
                  <pic:spPr bwMode="auto">
                    <a:xfrm>
                      <a:off x="0" y="0"/>
                      <a:ext cx="2789555" cy="1939925"/>
                    </a:xfrm>
                    <a:prstGeom prst="rect">
                      <a:avLst/>
                    </a:prstGeom>
                    <a:noFill/>
                    <a:ln w="9525">
                      <a:noFill/>
                      <a:miter lim="800000"/>
                      <a:headEnd/>
                      <a:tailEnd/>
                    </a:ln>
                  </pic:spPr>
                </pic:pic>
              </a:graphicData>
            </a:graphic>
          </wp:inline>
        </w:drawing>
      </w:r>
    </w:p>
    <w:p w:rsidR="00484E20" w:rsidRDefault="00484E20" w:rsidP="00484E20">
      <w:pPr>
        <w:ind w:left="0" w:firstLine="0"/>
        <w:rPr>
          <w:sz w:val="22"/>
          <w:lang w:val="en-US"/>
        </w:rPr>
      </w:pPr>
    </w:p>
    <w:p w:rsidR="00484E20" w:rsidRPr="00EE6A36" w:rsidRDefault="00484E20" w:rsidP="00484E20">
      <w:pPr>
        <w:spacing w:line="480" w:lineRule="auto"/>
        <w:rPr>
          <w:b/>
          <w:sz w:val="22"/>
          <w:lang w:val="en-US"/>
        </w:rPr>
      </w:pPr>
      <w:r w:rsidRPr="00EE6A36">
        <w:rPr>
          <w:b/>
          <w:sz w:val="22"/>
          <w:lang w:val="en-US"/>
        </w:rPr>
        <w:t>BASIC COUNTRY DATA</w:t>
      </w:r>
    </w:p>
    <w:p w:rsidR="00484E20" w:rsidRPr="00E45C74" w:rsidRDefault="00484E20" w:rsidP="00484E20">
      <w:pPr>
        <w:rPr>
          <w:bCs/>
          <w:sz w:val="22"/>
          <w:lang w:val="en-US"/>
        </w:rPr>
      </w:pPr>
      <w:r w:rsidRPr="00E45C74">
        <w:rPr>
          <w:bCs/>
          <w:sz w:val="22"/>
          <w:lang w:val="en-US"/>
        </w:rPr>
        <w:t>Total Population:</w:t>
      </w:r>
      <w:r>
        <w:rPr>
          <w:bCs/>
          <w:sz w:val="22"/>
          <w:lang w:val="en-US"/>
        </w:rPr>
        <w:t xml:space="preserve"> 5,253,676</w:t>
      </w:r>
      <w:r w:rsidRPr="00E45C74">
        <w:rPr>
          <w:bCs/>
          <w:sz w:val="22"/>
          <w:lang w:val="en-US"/>
        </w:rPr>
        <w:t xml:space="preserve"> </w:t>
      </w:r>
    </w:p>
    <w:p w:rsidR="00484E20" w:rsidRPr="00E45C74" w:rsidRDefault="00484E20" w:rsidP="00484E20">
      <w:pPr>
        <w:rPr>
          <w:bCs/>
          <w:sz w:val="22"/>
          <w:lang w:val="en-US"/>
        </w:rPr>
      </w:pPr>
      <w:r w:rsidRPr="00E45C74">
        <w:rPr>
          <w:bCs/>
          <w:sz w:val="22"/>
          <w:lang w:val="en-US"/>
        </w:rPr>
        <w:t>Population 0-14 years:</w:t>
      </w:r>
      <w:r>
        <w:rPr>
          <w:bCs/>
          <w:sz w:val="22"/>
          <w:lang w:val="en-US"/>
        </w:rPr>
        <w:t xml:space="preserve"> </w:t>
      </w:r>
      <w:r w:rsidRPr="00E45C74">
        <w:rPr>
          <w:bCs/>
          <w:sz w:val="22"/>
          <w:lang w:val="en-US"/>
        </w:rPr>
        <w:t>4</w:t>
      </w:r>
      <w:r>
        <w:rPr>
          <w:bCs/>
          <w:sz w:val="22"/>
          <w:lang w:val="en-US"/>
        </w:rPr>
        <w:t>2</w:t>
      </w:r>
      <w:r w:rsidRPr="00E45C74">
        <w:rPr>
          <w:bCs/>
          <w:sz w:val="22"/>
          <w:lang w:val="en-US"/>
        </w:rPr>
        <w:t xml:space="preserve">% </w:t>
      </w:r>
    </w:p>
    <w:p w:rsidR="00484E20" w:rsidRPr="00E45C74" w:rsidRDefault="00484E20" w:rsidP="00484E20">
      <w:pPr>
        <w:rPr>
          <w:bCs/>
          <w:sz w:val="22"/>
          <w:lang w:val="en-US"/>
        </w:rPr>
      </w:pPr>
      <w:r w:rsidRPr="00E45C74">
        <w:rPr>
          <w:bCs/>
          <w:sz w:val="22"/>
          <w:lang w:val="en-US"/>
        </w:rPr>
        <w:t>Rural population:</w:t>
      </w:r>
      <w:r>
        <w:rPr>
          <w:bCs/>
          <w:sz w:val="22"/>
          <w:lang w:val="en-US"/>
        </w:rPr>
        <w:t xml:space="preserve"> 78</w:t>
      </w:r>
      <w:r w:rsidRPr="00E45C74">
        <w:rPr>
          <w:bCs/>
          <w:sz w:val="22"/>
          <w:lang w:val="en-US"/>
        </w:rPr>
        <w:t xml:space="preserve">% </w:t>
      </w:r>
    </w:p>
    <w:p w:rsidR="00484E20" w:rsidRPr="00E45C74" w:rsidRDefault="00484E20" w:rsidP="00484E20">
      <w:pPr>
        <w:rPr>
          <w:bCs/>
          <w:sz w:val="22"/>
          <w:lang w:val="en-US"/>
        </w:rPr>
      </w:pPr>
      <w:r w:rsidRPr="00E45C74">
        <w:rPr>
          <w:bCs/>
          <w:sz w:val="22"/>
          <w:lang w:val="en-US"/>
        </w:rPr>
        <w:t>Population living under USD 1</w:t>
      </w:r>
      <w:r>
        <w:rPr>
          <w:bCs/>
          <w:sz w:val="22"/>
          <w:lang w:val="en-US"/>
        </w:rPr>
        <w:t>.</w:t>
      </w:r>
      <w:r w:rsidRPr="00E45C74">
        <w:rPr>
          <w:bCs/>
          <w:sz w:val="22"/>
          <w:lang w:val="en-US"/>
        </w:rPr>
        <w:t xml:space="preserve">25 a day: no data </w:t>
      </w:r>
    </w:p>
    <w:p w:rsidR="00484E20" w:rsidRPr="00E45C74" w:rsidRDefault="00484E20" w:rsidP="00484E20">
      <w:pPr>
        <w:rPr>
          <w:bCs/>
          <w:sz w:val="22"/>
          <w:lang w:val="en-US"/>
        </w:rPr>
      </w:pPr>
      <w:r w:rsidRPr="00E45C74">
        <w:rPr>
          <w:bCs/>
          <w:sz w:val="22"/>
          <w:lang w:val="en-US"/>
        </w:rPr>
        <w:t xml:space="preserve">Population living under the national poverty line: </w:t>
      </w:r>
      <w:r>
        <w:rPr>
          <w:bCs/>
          <w:sz w:val="22"/>
          <w:lang w:val="en-US"/>
        </w:rPr>
        <w:t>no data</w:t>
      </w:r>
    </w:p>
    <w:p w:rsidR="00484E20" w:rsidRPr="00E45C74" w:rsidRDefault="00484E20" w:rsidP="00484E20">
      <w:pPr>
        <w:rPr>
          <w:bCs/>
          <w:sz w:val="22"/>
          <w:lang w:val="en-US"/>
        </w:rPr>
      </w:pPr>
      <w:r w:rsidRPr="00E45C74">
        <w:rPr>
          <w:bCs/>
          <w:sz w:val="22"/>
          <w:lang w:val="en-US"/>
        </w:rPr>
        <w:t xml:space="preserve">Income status: Low income economy </w:t>
      </w:r>
    </w:p>
    <w:p w:rsidR="00484E20" w:rsidRPr="00E45C74" w:rsidRDefault="00484E20" w:rsidP="00484E20">
      <w:pPr>
        <w:rPr>
          <w:bCs/>
          <w:sz w:val="22"/>
          <w:lang w:val="en-US"/>
        </w:rPr>
      </w:pPr>
      <w:r w:rsidRPr="00E45C74">
        <w:rPr>
          <w:bCs/>
          <w:sz w:val="22"/>
          <w:lang w:val="en-US"/>
        </w:rPr>
        <w:t xml:space="preserve">Ranking: Low </w:t>
      </w:r>
      <w:r>
        <w:rPr>
          <w:bCs/>
          <w:sz w:val="22"/>
          <w:lang w:val="en-US"/>
        </w:rPr>
        <w:t>h</w:t>
      </w:r>
      <w:r w:rsidRPr="00E45C74">
        <w:rPr>
          <w:bCs/>
          <w:sz w:val="22"/>
          <w:lang w:val="en-US"/>
        </w:rPr>
        <w:t xml:space="preserve">uman </w:t>
      </w:r>
      <w:r>
        <w:rPr>
          <w:bCs/>
          <w:sz w:val="22"/>
          <w:lang w:val="en-US"/>
        </w:rPr>
        <w:t>d</w:t>
      </w:r>
      <w:r w:rsidRPr="00E45C74">
        <w:rPr>
          <w:bCs/>
          <w:sz w:val="22"/>
          <w:lang w:val="en-US"/>
        </w:rPr>
        <w:t>evelopment (ranking 1</w:t>
      </w:r>
      <w:r>
        <w:rPr>
          <w:bCs/>
          <w:sz w:val="22"/>
          <w:lang w:val="en-US"/>
        </w:rPr>
        <w:t>77</w:t>
      </w:r>
      <w:r w:rsidRPr="00E45C74">
        <w:rPr>
          <w:bCs/>
          <w:sz w:val="22"/>
          <w:lang w:val="en-US"/>
        </w:rPr>
        <w:t>)</w:t>
      </w:r>
    </w:p>
    <w:p w:rsidR="00484E20" w:rsidRPr="00E45C74" w:rsidRDefault="00484E20" w:rsidP="00484E20">
      <w:pPr>
        <w:rPr>
          <w:bCs/>
          <w:sz w:val="22"/>
          <w:lang w:val="en-US"/>
        </w:rPr>
      </w:pPr>
      <w:r w:rsidRPr="00E45C74">
        <w:rPr>
          <w:bCs/>
          <w:sz w:val="22"/>
          <w:lang w:val="en-US"/>
        </w:rPr>
        <w:t>Per capita total expenditure on health at average exchange rate (US dollar):</w:t>
      </w:r>
      <w:r>
        <w:rPr>
          <w:bCs/>
          <w:sz w:val="22"/>
          <w:lang w:val="en-US"/>
        </w:rPr>
        <w:t xml:space="preserve"> </w:t>
      </w:r>
      <w:r w:rsidRPr="00E45C74">
        <w:rPr>
          <w:bCs/>
          <w:sz w:val="22"/>
          <w:lang w:val="en-US"/>
        </w:rPr>
        <w:t xml:space="preserve">10 </w:t>
      </w:r>
    </w:p>
    <w:p w:rsidR="00484E20" w:rsidRPr="00E45C74" w:rsidRDefault="00484E20" w:rsidP="00484E20">
      <w:pPr>
        <w:rPr>
          <w:bCs/>
          <w:sz w:val="22"/>
          <w:lang w:val="en-US"/>
        </w:rPr>
      </w:pPr>
      <w:r w:rsidRPr="00E45C74">
        <w:rPr>
          <w:bCs/>
          <w:sz w:val="22"/>
          <w:lang w:val="en-US"/>
        </w:rPr>
        <w:t>Life expectancy at birth (years):</w:t>
      </w:r>
      <w:r>
        <w:rPr>
          <w:bCs/>
          <w:sz w:val="22"/>
          <w:lang w:val="en-US"/>
        </w:rPr>
        <w:t xml:space="preserve"> </w:t>
      </w:r>
      <w:r w:rsidRPr="00E45C74">
        <w:rPr>
          <w:bCs/>
          <w:sz w:val="22"/>
          <w:lang w:val="en-US"/>
        </w:rPr>
        <w:t>6</w:t>
      </w:r>
      <w:r>
        <w:rPr>
          <w:bCs/>
          <w:sz w:val="22"/>
          <w:lang w:val="en-US"/>
        </w:rPr>
        <w:t>1</w:t>
      </w:r>
      <w:r w:rsidRPr="00E45C74">
        <w:rPr>
          <w:bCs/>
          <w:sz w:val="22"/>
          <w:lang w:val="en-US"/>
        </w:rPr>
        <w:t xml:space="preserve"> </w:t>
      </w:r>
    </w:p>
    <w:p w:rsidR="00484E20" w:rsidRPr="00E45C74" w:rsidRDefault="00484E20" w:rsidP="00484E20">
      <w:pPr>
        <w:rPr>
          <w:bCs/>
          <w:sz w:val="22"/>
          <w:lang w:val="en-US"/>
        </w:rPr>
      </w:pPr>
      <w:r w:rsidRPr="00E45C74">
        <w:rPr>
          <w:bCs/>
          <w:sz w:val="22"/>
          <w:lang w:val="en-US"/>
        </w:rPr>
        <w:t>Health</w:t>
      </w:r>
      <w:r>
        <w:rPr>
          <w:bCs/>
          <w:sz w:val="22"/>
          <w:lang w:val="en-US"/>
        </w:rPr>
        <w:t>y</w:t>
      </w:r>
      <w:r w:rsidRPr="00E45C74">
        <w:rPr>
          <w:bCs/>
          <w:sz w:val="22"/>
          <w:lang w:val="en-US"/>
        </w:rPr>
        <w:t xml:space="preserve"> life expectancy at birth (years):</w:t>
      </w:r>
      <w:r>
        <w:rPr>
          <w:bCs/>
          <w:sz w:val="22"/>
          <w:lang w:val="en-US"/>
        </w:rPr>
        <w:t xml:space="preserve"> </w:t>
      </w:r>
      <w:r w:rsidRPr="00E45C74">
        <w:rPr>
          <w:bCs/>
          <w:sz w:val="22"/>
          <w:lang w:val="en-US"/>
        </w:rPr>
        <w:t xml:space="preserve">50 </w:t>
      </w:r>
    </w:p>
    <w:p w:rsidR="00484E20" w:rsidRPr="00E45C74" w:rsidRDefault="00484E20" w:rsidP="00484E20">
      <w:pPr>
        <w:rPr>
          <w:bCs/>
          <w:sz w:val="22"/>
          <w:lang w:val="en-US"/>
        </w:rPr>
      </w:pPr>
    </w:p>
    <w:p w:rsidR="00484E20" w:rsidRPr="00EE6A36" w:rsidRDefault="00484E20" w:rsidP="00484E20">
      <w:pPr>
        <w:rPr>
          <w:bCs/>
          <w:sz w:val="22"/>
          <w:lang w:val="en-US"/>
        </w:rPr>
      </w:pPr>
    </w:p>
    <w:p w:rsidR="00484E20" w:rsidRPr="00E45C74" w:rsidRDefault="00484E20" w:rsidP="00484E20">
      <w:pPr>
        <w:spacing w:line="480" w:lineRule="auto"/>
        <w:rPr>
          <w:sz w:val="22"/>
          <w:lang w:val="en-GB"/>
        </w:rPr>
      </w:pPr>
      <w:r w:rsidRPr="00EE6A36">
        <w:rPr>
          <w:b/>
          <w:sz w:val="22"/>
          <w:lang w:val="en-US"/>
        </w:rPr>
        <w:t xml:space="preserve">BACKGROUND INFORMATION </w:t>
      </w:r>
    </w:p>
    <w:p w:rsidR="00484E20" w:rsidRPr="002C75B8" w:rsidRDefault="00484E20" w:rsidP="00484E20">
      <w:pPr>
        <w:ind w:left="0" w:firstLine="0"/>
        <w:rPr>
          <w:sz w:val="22"/>
          <w:lang w:val="en-US"/>
        </w:rPr>
      </w:pPr>
      <w:r w:rsidRPr="002C75B8">
        <w:rPr>
          <w:sz w:val="22"/>
          <w:lang w:val="en-US"/>
        </w:rPr>
        <w:t xml:space="preserve">VL as well as CL </w:t>
      </w:r>
      <w:r>
        <w:rPr>
          <w:sz w:val="22"/>
          <w:lang w:val="en-US"/>
        </w:rPr>
        <w:t>ha</w:t>
      </w:r>
      <w:r>
        <w:rPr>
          <w:sz w:val="22"/>
          <w:lang w:val="en-US"/>
        </w:rPr>
        <w:t>s</w:t>
      </w:r>
      <w:r>
        <w:rPr>
          <w:sz w:val="22"/>
          <w:lang w:val="en-US"/>
        </w:rPr>
        <w:t xml:space="preserve"> been</w:t>
      </w:r>
      <w:r w:rsidRPr="002C75B8">
        <w:rPr>
          <w:sz w:val="22"/>
          <w:lang w:val="en-US"/>
        </w:rPr>
        <w:t xml:space="preserve"> historically present in Eritrea. </w:t>
      </w:r>
      <w:r w:rsidRPr="002C75B8">
        <w:rPr>
          <w:sz w:val="22"/>
          <w:lang w:val="en-GB"/>
        </w:rPr>
        <w:t>Leishmaniasis is distributed throughout the country</w:t>
      </w:r>
      <w:r>
        <w:rPr>
          <w:sz w:val="22"/>
          <w:lang w:val="en-US"/>
        </w:rPr>
        <w:t xml:space="preserve">. </w:t>
      </w:r>
      <w:r w:rsidRPr="00B37375">
        <w:rPr>
          <w:sz w:val="22"/>
          <w:lang w:val="en-GB"/>
        </w:rPr>
        <w:t>VL and CL are not reported as separate clinical manifestations</w:t>
      </w:r>
      <w:r>
        <w:rPr>
          <w:sz w:val="22"/>
          <w:lang w:val="en-US"/>
        </w:rPr>
        <w:t>, but the majority of reported cases are visceral.</w:t>
      </w:r>
      <w:r>
        <w:rPr>
          <w:sz w:val="22"/>
          <w:lang w:val="en-US"/>
        </w:rPr>
        <w:t xml:space="preserve"> </w:t>
      </w:r>
      <w:r w:rsidRPr="002C75B8">
        <w:rPr>
          <w:sz w:val="22"/>
          <w:lang w:val="en-US"/>
        </w:rPr>
        <w:t>95% of reported cases are over 5 year</w:t>
      </w:r>
      <w:r>
        <w:rPr>
          <w:sz w:val="22"/>
          <w:lang w:val="en-US"/>
        </w:rPr>
        <w:t>s</w:t>
      </w:r>
      <w:r w:rsidRPr="002C75B8">
        <w:rPr>
          <w:sz w:val="22"/>
          <w:lang w:val="en-US"/>
        </w:rPr>
        <w:t xml:space="preserve"> old. The usual distribution of VL in the Horn of Africa is in the lowlands (in </w:t>
      </w:r>
      <w:smartTag w:uri="urn:schemas-microsoft-com:office:smarttags" w:element="country-region">
        <w:r w:rsidRPr="002C75B8">
          <w:rPr>
            <w:sz w:val="22"/>
            <w:lang w:val="en-US"/>
          </w:rPr>
          <w:t>Eritrea</w:t>
        </w:r>
      </w:smartTag>
      <w:r>
        <w:rPr>
          <w:sz w:val="22"/>
          <w:lang w:val="en-US"/>
        </w:rPr>
        <w:t>,</w:t>
      </w:r>
      <w:r w:rsidRPr="002C75B8">
        <w:rPr>
          <w:sz w:val="22"/>
          <w:lang w:val="en-US"/>
        </w:rPr>
        <w:t xml:space="preserve"> in the </w:t>
      </w:r>
      <w:r>
        <w:rPr>
          <w:sz w:val="22"/>
          <w:lang w:val="en-US"/>
        </w:rPr>
        <w:t>w</w:t>
      </w:r>
      <w:r w:rsidRPr="002C75B8">
        <w:rPr>
          <w:sz w:val="22"/>
          <w:lang w:val="en-US"/>
        </w:rPr>
        <w:t xml:space="preserve">est and </w:t>
      </w:r>
      <w:r>
        <w:rPr>
          <w:sz w:val="22"/>
          <w:lang w:val="en-US"/>
        </w:rPr>
        <w:t>s</w:t>
      </w:r>
      <w:r w:rsidRPr="002C75B8">
        <w:rPr>
          <w:sz w:val="22"/>
          <w:lang w:val="en-US"/>
        </w:rPr>
        <w:t xml:space="preserve">outh) and for CL in the highlands (in </w:t>
      </w:r>
      <w:smartTag w:uri="urn:schemas-microsoft-com:office:smarttags" w:element="place">
        <w:smartTag w:uri="urn:schemas-microsoft-com:office:smarttags" w:element="country-region">
          <w:r w:rsidRPr="002C75B8">
            <w:rPr>
              <w:sz w:val="22"/>
              <w:lang w:val="en-US"/>
            </w:rPr>
            <w:t>Eritrea</w:t>
          </w:r>
        </w:smartTag>
      </w:smartTag>
      <w:r>
        <w:rPr>
          <w:sz w:val="22"/>
          <w:lang w:val="en-US"/>
        </w:rPr>
        <w:t>,</w:t>
      </w:r>
      <w:r w:rsidRPr="002C75B8">
        <w:rPr>
          <w:sz w:val="22"/>
          <w:lang w:val="en-US"/>
        </w:rPr>
        <w:t xml:space="preserve"> in the </w:t>
      </w:r>
      <w:r>
        <w:rPr>
          <w:sz w:val="22"/>
          <w:lang w:val="en-US"/>
        </w:rPr>
        <w:t>n</w:t>
      </w:r>
      <w:r w:rsidRPr="002C75B8">
        <w:rPr>
          <w:sz w:val="22"/>
          <w:lang w:val="en-US"/>
        </w:rPr>
        <w:t>orth</w:t>
      </w:r>
      <w:r>
        <w:rPr>
          <w:sz w:val="22"/>
          <w:lang w:val="en-US"/>
        </w:rPr>
        <w:t xml:space="preserve"> and center</w:t>
      </w:r>
      <w:r w:rsidRPr="002C75B8">
        <w:rPr>
          <w:sz w:val="22"/>
          <w:lang w:val="en-US"/>
        </w:rPr>
        <w:t xml:space="preserve">), although population movements should be taken into account. It is not known if outbreaks </w:t>
      </w:r>
      <w:r>
        <w:rPr>
          <w:sz w:val="22"/>
          <w:lang w:val="en-US"/>
        </w:rPr>
        <w:t xml:space="preserve">occurred </w:t>
      </w:r>
      <w:r w:rsidRPr="002C75B8">
        <w:rPr>
          <w:sz w:val="22"/>
          <w:lang w:val="en-US"/>
        </w:rPr>
        <w:t>in the past.</w:t>
      </w:r>
    </w:p>
    <w:p w:rsidR="00484E20" w:rsidRPr="002C75B8" w:rsidRDefault="00484E20" w:rsidP="00484E20">
      <w:pPr>
        <w:ind w:left="0" w:firstLine="0"/>
        <w:rPr>
          <w:sz w:val="22"/>
          <w:lang w:val="en-GB"/>
        </w:rPr>
      </w:pPr>
    </w:p>
    <w:p w:rsidR="00484E20" w:rsidRPr="002F2F3C" w:rsidRDefault="00484E20" w:rsidP="00484E20">
      <w:pPr>
        <w:ind w:left="0" w:firstLine="0"/>
        <w:rPr>
          <w:sz w:val="22"/>
          <w:lang w:val="en-GB"/>
        </w:rPr>
      </w:pPr>
      <w:r w:rsidRPr="002F2F3C">
        <w:rPr>
          <w:sz w:val="22"/>
          <w:lang w:val="en-GB"/>
        </w:rPr>
        <w:t xml:space="preserve">A HIV positive Eritrean person was found to be coinfected after moving to the </w:t>
      </w:r>
      <w:smartTag w:uri="urn:schemas-microsoft-com:office:smarttags" w:element="country-region">
        <w:smartTag w:uri="urn:schemas-microsoft-com:office:smarttags" w:element="place">
          <w:r w:rsidRPr="002F2F3C">
            <w:rPr>
              <w:sz w:val="22"/>
              <w:lang w:val="en-GB"/>
            </w:rPr>
            <w:t>Netherlands</w:t>
          </w:r>
        </w:smartTag>
      </w:smartTag>
      <w:r>
        <w:rPr>
          <w:sz w:val="22"/>
          <w:lang w:val="en-GB"/>
        </w:rPr>
        <w:t xml:space="preserve"> [1]</w:t>
      </w:r>
      <w:r w:rsidRPr="002F2F3C">
        <w:rPr>
          <w:sz w:val="22"/>
          <w:lang w:val="en-GB"/>
        </w:rPr>
        <w:t>.</w:t>
      </w:r>
    </w:p>
    <w:p w:rsidR="00484E20" w:rsidRPr="00E45C74" w:rsidRDefault="00484E20" w:rsidP="00484E20">
      <w:pPr>
        <w:rPr>
          <w:sz w:val="22"/>
          <w:lang w:val="en-GB"/>
        </w:rPr>
      </w:pPr>
    </w:p>
    <w:p w:rsidR="00484E20" w:rsidRPr="00E45C74" w:rsidRDefault="00484E20" w:rsidP="00484E20">
      <w:pPr>
        <w:rPr>
          <w:sz w:val="22"/>
          <w:lang w:val="en-GB"/>
        </w:rPr>
      </w:pPr>
    </w:p>
    <w:p w:rsidR="00484E20" w:rsidRPr="00E45C74" w:rsidRDefault="00484E20" w:rsidP="00484E20">
      <w:pPr>
        <w:rPr>
          <w:b/>
          <w:bCs/>
          <w:sz w:val="22"/>
          <w:lang w:val="en-GB"/>
        </w:rPr>
      </w:pPr>
      <w:r w:rsidRPr="00E45C74">
        <w:rPr>
          <w:b/>
          <w:bCs/>
          <w:sz w:val="22"/>
          <w:lang w:val="en-GB"/>
        </w:rPr>
        <w:t>PARASITOLOGICAL INFORMATION</w:t>
      </w:r>
    </w:p>
    <w:p w:rsidR="00484E20" w:rsidRPr="00E45C74" w:rsidRDefault="00484E20" w:rsidP="00484E20">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85"/>
        <w:gridCol w:w="2237"/>
        <w:gridCol w:w="2255"/>
        <w:gridCol w:w="2277"/>
      </w:tblGrid>
      <w:tr w:rsidR="00484E20" w:rsidRPr="002C75B8" w:rsidTr="00A7768B">
        <w:tc>
          <w:tcPr>
            <w:tcW w:w="2285" w:type="dxa"/>
            <w:vAlign w:val="center"/>
          </w:tcPr>
          <w:p w:rsidR="00484E20" w:rsidRPr="002C75B8" w:rsidRDefault="00484E20" w:rsidP="00A7768B">
            <w:pPr>
              <w:ind w:left="0" w:firstLine="0"/>
              <w:jc w:val="center"/>
              <w:rPr>
                <w:b/>
                <w:bCs/>
                <w:sz w:val="22"/>
              </w:rPr>
            </w:pPr>
            <w:r w:rsidRPr="002C75B8">
              <w:rPr>
                <w:b/>
                <w:bCs/>
                <w:i/>
                <w:iCs/>
                <w:sz w:val="22"/>
              </w:rPr>
              <w:t xml:space="preserve">Leishmania </w:t>
            </w:r>
            <w:proofErr w:type="spellStart"/>
            <w:r w:rsidRPr="002C75B8">
              <w:rPr>
                <w:b/>
                <w:bCs/>
                <w:sz w:val="22"/>
              </w:rPr>
              <w:t>species</w:t>
            </w:r>
            <w:proofErr w:type="spellEnd"/>
          </w:p>
        </w:tc>
        <w:tc>
          <w:tcPr>
            <w:tcW w:w="2237" w:type="dxa"/>
            <w:vAlign w:val="center"/>
          </w:tcPr>
          <w:p w:rsidR="00484E20" w:rsidRPr="002C75B8" w:rsidRDefault="00484E20" w:rsidP="00A7768B">
            <w:pPr>
              <w:ind w:left="0" w:firstLine="0"/>
              <w:jc w:val="center"/>
              <w:rPr>
                <w:b/>
                <w:bCs/>
                <w:sz w:val="22"/>
              </w:rPr>
            </w:pPr>
          </w:p>
          <w:p w:rsidR="00484E20" w:rsidRPr="002C75B8" w:rsidRDefault="00484E20" w:rsidP="00A7768B">
            <w:pPr>
              <w:ind w:left="0" w:firstLine="0"/>
              <w:jc w:val="center"/>
              <w:rPr>
                <w:sz w:val="22"/>
                <w:lang w:val="en-US"/>
              </w:rPr>
            </w:pPr>
            <w:proofErr w:type="spellStart"/>
            <w:r w:rsidRPr="002C75B8">
              <w:rPr>
                <w:b/>
                <w:bCs/>
                <w:sz w:val="22"/>
              </w:rPr>
              <w:t>Clinical</w:t>
            </w:r>
            <w:proofErr w:type="spellEnd"/>
            <w:r w:rsidRPr="002C75B8">
              <w:rPr>
                <w:b/>
                <w:bCs/>
                <w:sz w:val="22"/>
              </w:rPr>
              <w:t xml:space="preserve"> </w:t>
            </w:r>
            <w:proofErr w:type="spellStart"/>
            <w:r w:rsidRPr="002C75B8">
              <w:rPr>
                <w:b/>
                <w:bCs/>
                <w:sz w:val="22"/>
              </w:rPr>
              <w:t>form</w:t>
            </w:r>
            <w:proofErr w:type="spellEnd"/>
          </w:p>
        </w:tc>
        <w:tc>
          <w:tcPr>
            <w:tcW w:w="2255" w:type="dxa"/>
            <w:vAlign w:val="center"/>
          </w:tcPr>
          <w:p w:rsidR="00484E20" w:rsidRPr="002C75B8" w:rsidRDefault="00484E20" w:rsidP="00A7768B">
            <w:pPr>
              <w:ind w:left="0" w:firstLine="0"/>
              <w:jc w:val="center"/>
              <w:rPr>
                <w:b/>
                <w:bCs/>
                <w:sz w:val="22"/>
              </w:rPr>
            </w:pPr>
          </w:p>
          <w:p w:rsidR="00484E20" w:rsidRPr="002C75B8" w:rsidRDefault="00484E20" w:rsidP="00A7768B">
            <w:pPr>
              <w:ind w:left="0" w:firstLine="0"/>
              <w:jc w:val="center"/>
              <w:rPr>
                <w:sz w:val="22"/>
                <w:lang w:val="en-US"/>
              </w:rPr>
            </w:pPr>
            <w:r w:rsidRPr="002C75B8">
              <w:rPr>
                <w:b/>
                <w:bCs/>
                <w:sz w:val="22"/>
              </w:rPr>
              <w:t xml:space="preserve">Vector </w:t>
            </w:r>
            <w:proofErr w:type="spellStart"/>
            <w:r w:rsidRPr="002C75B8">
              <w:rPr>
                <w:b/>
                <w:bCs/>
                <w:sz w:val="22"/>
              </w:rPr>
              <w:t>species</w:t>
            </w:r>
            <w:proofErr w:type="spellEnd"/>
          </w:p>
        </w:tc>
        <w:tc>
          <w:tcPr>
            <w:tcW w:w="2277" w:type="dxa"/>
            <w:vAlign w:val="center"/>
          </w:tcPr>
          <w:p w:rsidR="00484E20" w:rsidRPr="002C75B8" w:rsidRDefault="00484E20" w:rsidP="00A7768B">
            <w:pPr>
              <w:ind w:left="0" w:firstLine="0"/>
              <w:jc w:val="center"/>
              <w:rPr>
                <w:b/>
                <w:bCs/>
                <w:sz w:val="22"/>
              </w:rPr>
            </w:pPr>
          </w:p>
          <w:p w:rsidR="00484E20" w:rsidRPr="002C75B8" w:rsidRDefault="00484E20" w:rsidP="00A7768B">
            <w:pPr>
              <w:ind w:left="0" w:firstLine="0"/>
              <w:jc w:val="center"/>
              <w:rPr>
                <w:sz w:val="22"/>
                <w:lang w:val="en-US"/>
              </w:rPr>
            </w:pPr>
            <w:proofErr w:type="spellStart"/>
            <w:r w:rsidRPr="002C75B8">
              <w:rPr>
                <w:b/>
                <w:bCs/>
                <w:sz w:val="22"/>
              </w:rPr>
              <w:t>Reservoirs</w:t>
            </w:r>
            <w:proofErr w:type="spellEnd"/>
          </w:p>
        </w:tc>
      </w:tr>
      <w:tr w:rsidR="00484E20" w:rsidRPr="002C75B8" w:rsidTr="00A7768B">
        <w:tc>
          <w:tcPr>
            <w:tcW w:w="9054" w:type="dxa"/>
            <w:gridSpan w:val="4"/>
            <w:vAlign w:val="center"/>
          </w:tcPr>
          <w:p w:rsidR="00484E20" w:rsidRPr="00E45C74" w:rsidRDefault="00484E20" w:rsidP="00A7768B">
            <w:pPr>
              <w:autoSpaceDE w:val="0"/>
              <w:autoSpaceDN w:val="0"/>
              <w:adjustRightInd w:val="0"/>
              <w:jc w:val="center"/>
              <w:rPr>
                <w:color w:val="000000"/>
                <w:sz w:val="22"/>
                <w:lang w:val="en-US"/>
              </w:rPr>
            </w:pPr>
            <w:r w:rsidRPr="00E45C74">
              <w:rPr>
                <w:color w:val="000000"/>
                <w:sz w:val="22"/>
                <w:lang w:val="it-IT"/>
              </w:rPr>
              <w:t>Unknown</w:t>
            </w:r>
          </w:p>
          <w:p w:rsidR="00484E20" w:rsidRPr="006F5471" w:rsidRDefault="00484E20" w:rsidP="00A7768B">
            <w:pPr>
              <w:pStyle w:val="NormalWeb"/>
              <w:spacing w:before="0" w:beforeAutospacing="0" w:after="0" w:afterAutospacing="0"/>
              <w:textAlignment w:val="baseline"/>
              <w:rPr>
                <w:rFonts w:ascii="Arial" w:hAnsi="Arial" w:cs="Arial"/>
                <w:sz w:val="20"/>
                <w:szCs w:val="20"/>
              </w:rPr>
            </w:pPr>
          </w:p>
        </w:tc>
      </w:tr>
    </w:tbl>
    <w:p w:rsidR="00484E20" w:rsidRPr="00E45C74" w:rsidRDefault="00484E20" w:rsidP="00484E20">
      <w:pPr>
        <w:rPr>
          <w:b/>
          <w:bCs/>
          <w:sz w:val="22"/>
          <w:lang w:val="en-GB"/>
        </w:rPr>
      </w:pPr>
    </w:p>
    <w:p w:rsidR="00484E20" w:rsidRDefault="00484E20" w:rsidP="00484E20">
      <w:pPr>
        <w:rPr>
          <w:b/>
          <w:bCs/>
          <w:sz w:val="22"/>
          <w:lang w:val="en-GB"/>
        </w:rPr>
      </w:pPr>
    </w:p>
    <w:p w:rsidR="00484E20" w:rsidRDefault="00484E20" w:rsidP="00484E20">
      <w:pPr>
        <w:rPr>
          <w:b/>
          <w:bCs/>
          <w:sz w:val="22"/>
          <w:lang w:val="en-GB"/>
        </w:rPr>
      </w:pPr>
    </w:p>
    <w:p w:rsidR="00484E20" w:rsidRDefault="00484E20" w:rsidP="00484E20">
      <w:pPr>
        <w:rPr>
          <w:b/>
          <w:bCs/>
          <w:sz w:val="22"/>
          <w:lang w:val="en-GB"/>
        </w:rPr>
      </w:pPr>
    </w:p>
    <w:p w:rsidR="00484E20" w:rsidRDefault="00484E20" w:rsidP="00484E20">
      <w:pPr>
        <w:rPr>
          <w:b/>
          <w:bCs/>
          <w:sz w:val="22"/>
          <w:lang w:val="en-GB"/>
        </w:rPr>
      </w:pPr>
      <w:r w:rsidRPr="00E45C74">
        <w:rPr>
          <w:b/>
          <w:bCs/>
          <w:sz w:val="22"/>
          <w:lang w:val="en-GB"/>
        </w:rPr>
        <w:lastRenderedPageBreak/>
        <w:t>MAPS AND TRENDS</w:t>
      </w:r>
    </w:p>
    <w:p w:rsidR="00484E20" w:rsidRDefault="00484E20" w:rsidP="00484E20">
      <w:pPr>
        <w:rPr>
          <w:b/>
          <w:bCs/>
          <w:sz w:val="22"/>
          <w:lang w:val="en-GB"/>
        </w:rPr>
      </w:pPr>
    </w:p>
    <w:p w:rsidR="00484E20" w:rsidRPr="00E45C74" w:rsidRDefault="00484E20" w:rsidP="00484E20">
      <w:pPr>
        <w:rPr>
          <w:b/>
          <w:bCs/>
          <w:sz w:val="22"/>
          <w:lang w:val="en-GB"/>
        </w:rPr>
      </w:pPr>
      <w:r>
        <w:rPr>
          <w:b/>
          <w:bCs/>
          <w:sz w:val="22"/>
          <w:lang w:val="en-GB"/>
        </w:rPr>
        <w:t>Cutaneous and visceral leishmaniasis</w:t>
      </w:r>
    </w:p>
    <w:p w:rsidR="00484E20" w:rsidRPr="00E45C74" w:rsidRDefault="00484E20" w:rsidP="00484E20">
      <w:pPr>
        <w:rPr>
          <w:b/>
          <w:bCs/>
          <w:sz w:val="22"/>
          <w:lang w:val="en-GB"/>
        </w:rPr>
      </w:pPr>
      <w:r>
        <w:rPr>
          <w:b/>
          <w:bCs/>
          <w:noProof/>
          <w:sz w:val="22"/>
          <w:lang w:val="en-US"/>
        </w:rPr>
        <w:drawing>
          <wp:anchor distT="0" distB="0" distL="114300" distR="114300" simplePos="0" relativeHeight="251661312" behindDoc="0" locked="0" layoutInCell="1" allowOverlap="1">
            <wp:simplePos x="0" y="0"/>
            <wp:positionH relativeFrom="column">
              <wp:posOffset>26670</wp:posOffset>
            </wp:positionH>
            <wp:positionV relativeFrom="paragraph">
              <wp:posOffset>111125</wp:posOffset>
            </wp:positionV>
            <wp:extent cx="3222625" cy="2277745"/>
            <wp:effectExtent l="19050" t="0" r="0" b="0"/>
            <wp:wrapNone/>
            <wp:docPr id="4" name="Picture 4" descr="ERmo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Rmod2"/>
                    <pic:cNvPicPr>
                      <a:picLocks noChangeAspect="1" noChangeArrowheads="1"/>
                    </pic:cNvPicPr>
                  </pic:nvPicPr>
                  <pic:blipFill>
                    <a:blip r:embed="rId6" cstate="print"/>
                    <a:srcRect/>
                    <a:stretch>
                      <a:fillRect/>
                    </a:stretch>
                  </pic:blipFill>
                  <pic:spPr bwMode="auto">
                    <a:xfrm>
                      <a:off x="0" y="0"/>
                      <a:ext cx="3222625" cy="2277745"/>
                    </a:xfrm>
                    <a:prstGeom prst="rect">
                      <a:avLst/>
                    </a:prstGeom>
                    <a:noFill/>
                  </pic:spPr>
                </pic:pic>
              </a:graphicData>
            </a:graphic>
          </wp:anchor>
        </w:drawing>
      </w:r>
      <w:r>
        <w:rPr>
          <w:b/>
          <w:bCs/>
          <w:noProof/>
          <w:sz w:val="22"/>
          <w:lang w:val="en-US"/>
        </w:rPr>
        <w:drawing>
          <wp:anchor distT="0" distB="0" distL="114300" distR="114300" simplePos="0" relativeHeight="251662336" behindDoc="0" locked="0" layoutInCell="1" allowOverlap="1">
            <wp:simplePos x="0" y="0"/>
            <wp:positionH relativeFrom="column">
              <wp:posOffset>3086100</wp:posOffset>
            </wp:positionH>
            <wp:positionV relativeFrom="paragraph">
              <wp:posOffset>111125</wp:posOffset>
            </wp:positionV>
            <wp:extent cx="3200400" cy="2263140"/>
            <wp:effectExtent l="19050" t="0" r="0" b="0"/>
            <wp:wrapNone/>
            <wp:docPr id="5" name="Picture 5" descr="ERIRm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RIRmod"/>
                    <pic:cNvPicPr>
                      <a:picLocks noChangeAspect="1" noChangeArrowheads="1"/>
                    </pic:cNvPicPr>
                  </pic:nvPicPr>
                  <pic:blipFill>
                    <a:blip r:embed="rId7" cstate="print"/>
                    <a:srcRect/>
                    <a:stretch>
                      <a:fillRect/>
                    </a:stretch>
                  </pic:blipFill>
                  <pic:spPr bwMode="auto">
                    <a:xfrm>
                      <a:off x="0" y="0"/>
                      <a:ext cx="3200400" cy="2263140"/>
                    </a:xfrm>
                    <a:prstGeom prst="rect">
                      <a:avLst/>
                    </a:prstGeom>
                    <a:noFill/>
                  </pic:spPr>
                </pic:pic>
              </a:graphicData>
            </a:graphic>
          </wp:anchor>
        </w:drawing>
      </w:r>
    </w:p>
    <w:p w:rsidR="00484E20" w:rsidRDefault="00484E20" w:rsidP="00484E20">
      <w:pPr>
        <w:rPr>
          <w:b/>
          <w:bCs/>
          <w:sz w:val="22"/>
          <w:lang w:val="en-GB"/>
        </w:rPr>
      </w:pPr>
    </w:p>
    <w:p w:rsidR="00484E20" w:rsidRDefault="00484E20" w:rsidP="00484E20">
      <w:pPr>
        <w:rPr>
          <w:b/>
          <w:bCs/>
          <w:sz w:val="22"/>
          <w:lang w:val="en-GB"/>
        </w:rPr>
      </w:pPr>
    </w:p>
    <w:p w:rsidR="00484E20" w:rsidRDefault="00484E20" w:rsidP="00484E20">
      <w:pPr>
        <w:rPr>
          <w:b/>
          <w:bCs/>
          <w:sz w:val="22"/>
          <w:lang w:val="en-GB"/>
        </w:rPr>
      </w:pPr>
    </w:p>
    <w:p w:rsidR="00484E20" w:rsidRDefault="00484E20" w:rsidP="00484E20">
      <w:pPr>
        <w:rPr>
          <w:b/>
          <w:bCs/>
          <w:sz w:val="22"/>
          <w:lang w:val="en-GB"/>
        </w:rPr>
      </w:pPr>
    </w:p>
    <w:p w:rsidR="00484E20" w:rsidRDefault="00484E20" w:rsidP="00484E20">
      <w:pPr>
        <w:rPr>
          <w:b/>
          <w:bCs/>
          <w:sz w:val="22"/>
          <w:lang w:val="en-GB"/>
        </w:rPr>
      </w:pPr>
    </w:p>
    <w:p w:rsidR="00484E20" w:rsidRDefault="00484E20" w:rsidP="00484E20">
      <w:pPr>
        <w:rPr>
          <w:b/>
          <w:bCs/>
          <w:sz w:val="22"/>
          <w:lang w:val="en-GB"/>
        </w:rPr>
      </w:pPr>
    </w:p>
    <w:p w:rsidR="00484E20" w:rsidRDefault="00484E20" w:rsidP="00484E20">
      <w:pPr>
        <w:rPr>
          <w:b/>
          <w:bCs/>
          <w:sz w:val="22"/>
          <w:lang w:val="en-GB"/>
        </w:rPr>
      </w:pPr>
    </w:p>
    <w:p w:rsidR="00484E20" w:rsidRDefault="00484E20" w:rsidP="00484E20">
      <w:pPr>
        <w:rPr>
          <w:b/>
          <w:bCs/>
          <w:sz w:val="22"/>
          <w:lang w:val="en-GB"/>
        </w:rPr>
      </w:pPr>
    </w:p>
    <w:p w:rsidR="00484E20" w:rsidRDefault="00484E20" w:rsidP="00484E20">
      <w:pPr>
        <w:rPr>
          <w:b/>
          <w:bCs/>
          <w:sz w:val="22"/>
          <w:lang w:val="en-GB"/>
        </w:rPr>
      </w:pPr>
    </w:p>
    <w:p w:rsidR="00484E20" w:rsidRDefault="00484E20" w:rsidP="00484E20">
      <w:pPr>
        <w:rPr>
          <w:b/>
          <w:bCs/>
          <w:sz w:val="22"/>
          <w:lang w:val="en-GB"/>
        </w:rPr>
      </w:pPr>
    </w:p>
    <w:p w:rsidR="00484E20" w:rsidRDefault="00484E20" w:rsidP="00484E20">
      <w:pPr>
        <w:rPr>
          <w:b/>
          <w:bCs/>
          <w:sz w:val="22"/>
          <w:lang w:val="en-GB"/>
        </w:rPr>
      </w:pPr>
    </w:p>
    <w:p w:rsidR="00484E20" w:rsidRDefault="00484E20" w:rsidP="00484E20">
      <w:pPr>
        <w:rPr>
          <w:b/>
          <w:bCs/>
          <w:sz w:val="22"/>
          <w:lang w:val="en-GB"/>
        </w:rPr>
      </w:pPr>
    </w:p>
    <w:p w:rsidR="00484E20" w:rsidRDefault="00484E20" w:rsidP="00484E20">
      <w:pPr>
        <w:rPr>
          <w:b/>
          <w:bCs/>
          <w:sz w:val="22"/>
          <w:lang w:val="en-GB"/>
        </w:rPr>
      </w:pPr>
    </w:p>
    <w:p w:rsidR="00484E20" w:rsidRDefault="00484E20" w:rsidP="00484E20">
      <w:pPr>
        <w:rPr>
          <w:b/>
          <w:bCs/>
          <w:sz w:val="22"/>
          <w:lang w:val="en-GB"/>
        </w:rPr>
      </w:pPr>
    </w:p>
    <w:p w:rsidR="00484E20" w:rsidRDefault="00484E20" w:rsidP="00484E20">
      <w:pPr>
        <w:rPr>
          <w:b/>
          <w:bCs/>
          <w:sz w:val="22"/>
          <w:lang w:val="en-GB"/>
        </w:rPr>
      </w:pPr>
    </w:p>
    <w:p w:rsidR="00484E20" w:rsidRPr="00E45C74" w:rsidRDefault="00484E20" w:rsidP="00484E20">
      <w:pPr>
        <w:rPr>
          <w:b/>
          <w:bCs/>
          <w:sz w:val="22"/>
          <w:lang w:val="en-GB"/>
        </w:rPr>
      </w:pPr>
    </w:p>
    <w:p w:rsidR="00484E20" w:rsidRPr="00E45C74" w:rsidRDefault="00484E20" w:rsidP="00484E20">
      <w:pPr>
        <w:ind w:left="0" w:firstLine="0"/>
        <w:rPr>
          <w:b/>
          <w:bCs/>
          <w:sz w:val="22"/>
          <w:lang w:val="en-GB"/>
        </w:rPr>
      </w:pPr>
      <w:r>
        <w:rPr>
          <w:b/>
          <w:bCs/>
          <w:sz w:val="22"/>
          <w:lang w:val="en-GB"/>
        </w:rPr>
        <w:t>L</w:t>
      </w:r>
      <w:r w:rsidRPr="00E45C74">
        <w:rPr>
          <w:b/>
          <w:bCs/>
          <w:sz w:val="22"/>
          <w:lang w:val="en-GB"/>
        </w:rPr>
        <w:t>eishmaniasis trend</w:t>
      </w:r>
    </w:p>
    <w:p w:rsidR="00484E20" w:rsidRPr="00E45C74" w:rsidRDefault="00484E20" w:rsidP="00484E20">
      <w:pPr>
        <w:ind w:left="0" w:firstLine="0"/>
        <w:rPr>
          <w:sz w:val="22"/>
          <w:lang w:val="en-GB"/>
        </w:rPr>
      </w:pPr>
      <w:r>
        <w:rPr>
          <w:noProof/>
          <w:color w:val="4F81BD"/>
          <w:sz w:val="22"/>
          <w:lang w:val="en-US"/>
        </w:rPr>
        <w:drawing>
          <wp:anchor distT="0" distB="0" distL="114300" distR="114300" simplePos="0" relativeHeight="251660288" behindDoc="0" locked="0" layoutInCell="1" allowOverlap="1">
            <wp:simplePos x="0" y="0"/>
            <wp:positionH relativeFrom="column">
              <wp:posOffset>-228600</wp:posOffset>
            </wp:positionH>
            <wp:positionV relativeFrom="paragraph">
              <wp:posOffset>55245</wp:posOffset>
            </wp:positionV>
            <wp:extent cx="5306695" cy="2857500"/>
            <wp:effectExtent l="0" t="0" r="0" b="0"/>
            <wp:wrapNone/>
            <wp:docPr id="3" name="Object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rsidR="00484E20" w:rsidRPr="002C75B8" w:rsidRDefault="00484E20" w:rsidP="00484E20">
      <w:pPr>
        <w:ind w:left="0" w:firstLine="0"/>
        <w:rPr>
          <w:color w:val="4F81BD"/>
          <w:sz w:val="22"/>
          <w:lang w:val="en-GB"/>
        </w:rPr>
      </w:pPr>
    </w:p>
    <w:p w:rsidR="00484E20" w:rsidRDefault="00484E20" w:rsidP="00484E20">
      <w:pPr>
        <w:pStyle w:val="Char"/>
        <w:jc w:val="both"/>
        <w:rPr>
          <w:rFonts w:ascii="Arial" w:hAnsi="Arial" w:cs="Arial"/>
          <w:color w:val="FF0000"/>
          <w:sz w:val="22"/>
          <w:szCs w:val="22"/>
          <w:lang w:val="en-GB"/>
        </w:rPr>
      </w:pPr>
    </w:p>
    <w:p w:rsidR="00484E20" w:rsidRDefault="00484E20" w:rsidP="00484E20">
      <w:pPr>
        <w:pStyle w:val="Char"/>
        <w:jc w:val="both"/>
        <w:rPr>
          <w:rFonts w:ascii="Arial" w:hAnsi="Arial" w:cs="Arial"/>
          <w:color w:val="FF0000"/>
          <w:sz w:val="22"/>
          <w:szCs w:val="22"/>
          <w:lang w:val="en-GB"/>
        </w:rPr>
      </w:pPr>
    </w:p>
    <w:p w:rsidR="00484E20" w:rsidRDefault="00484E20" w:rsidP="00484E20">
      <w:pPr>
        <w:pStyle w:val="Char"/>
        <w:jc w:val="both"/>
        <w:rPr>
          <w:rFonts w:ascii="Arial" w:hAnsi="Arial" w:cs="Arial"/>
          <w:color w:val="FF0000"/>
          <w:sz w:val="22"/>
          <w:szCs w:val="22"/>
          <w:lang w:val="en-GB"/>
        </w:rPr>
      </w:pPr>
    </w:p>
    <w:p w:rsidR="00484E20" w:rsidRDefault="00484E20" w:rsidP="00484E20">
      <w:pPr>
        <w:pStyle w:val="Char"/>
        <w:jc w:val="both"/>
        <w:rPr>
          <w:rFonts w:ascii="Arial" w:hAnsi="Arial" w:cs="Arial"/>
          <w:color w:val="FF0000"/>
          <w:sz w:val="22"/>
          <w:szCs w:val="22"/>
          <w:lang w:val="en-GB"/>
        </w:rPr>
      </w:pPr>
    </w:p>
    <w:p w:rsidR="00484E20" w:rsidRDefault="00484E20" w:rsidP="00484E20">
      <w:pPr>
        <w:pStyle w:val="Char"/>
        <w:jc w:val="both"/>
        <w:rPr>
          <w:rFonts w:ascii="Arial" w:hAnsi="Arial" w:cs="Arial"/>
          <w:color w:val="FF0000"/>
          <w:sz w:val="22"/>
          <w:szCs w:val="22"/>
          <w:lang w:val="en-GB"/>
        </w:rPr>
      </w:pPr>
    </w:p>
    <w:p w:rsidR="00484E20" w:rsidRDefault="00484E20" w:rsidP="00484E20">
      <w:pPr>
        <w:pStyle w:val="Char"/>
        <w:jc w:val="both"/>
        <w:rPr>
          <w:rFonts w:ascii="Arial" w:hAnsi="Arial" w:cs="Arial"/>
          <w:color w:val="FF0000"/>
          <w:sz w:val="22"/>
          <w:szCs w:val="22"/>
          <w:lang w:val="en-GB"/>
        </w:rPr>
      </w:pPr>
    </w:p>
    <w:p w:rsidR="00484E20" w:rsidRDefault="00484E20" w:rsidP="00484E20">
      <w:pPr>
        <w:pStyle w:val="Char"/>
        <w:jc w:val="both"/>
        <w:rPr>
          <w:rFonts w:ascii="Arial" w:hAnsi="Arial" w:cs="Arial"/>
          <w:color w:val="FF0000"/>
          <w:sz w:val="22"/>
          <w:szCs w:val="22"/>
          <w:lang w:val="en-GB"/>
        </w:rPr>
      </w:pPr>
    </w:p>
    <w:p w:rsidR="00484E20" w:rsidRDefault="00484E20" w:rsidP="00484E20">
      <w:pPr>
        <w:pStyle w:val="Char"/>
        <w:jc w:val="both"/>
        <w:rPr>
          <w:rFonts w:ascii="Arial" w:hAnsi="Arial" w:cs="Arial"/>
          <w:color w:val="FF0000"/>
          <w:sz w:val="22"/>
          <w:szCs w:val="22"/>
          <w:lang w:val="en-GB"/>
        </w:rPr>
      </w:pPr>
    </w:p>
    <w:p w:rsidR="00484E20" w:rsidRDefault="00484E20" w:rsidP="00484E20">
      <w:pPr>
        <w:pStyle w:val="Char"/>
        <w:jc w:val="both"/>
        <w:rPr>
          <w:rFonts w:ascii="Arial" w:hAnsi="Arial" w:cs="Arial"/>
          <w:color w:val="FF0000"/>
          <w:sz w:val="22"/>
          <w:szCs w:val="22"/>
          <w:lang w:val="en-GB"/>
        </w:rPr>
      </w:pPr>
    </w:p>
    <w:p w:rsidR="00484E20" w:rsidRDefault="00484E20" w:rsidP="00484E20">
      <w:pPr>
        <w:pStyle w:val="Char"/>
        <w:jc w:val="both"/>
        <w:rPr>
          <w:rFonts w:ascii="Arial" w:hAnsi="Arial" w:cs="Arial"/>
          <w:color w:val="FF0000"/>
          <w:sz w:val="22"/>
          <w:szCs w:val="22"/>
          <w:lang w:val="en-GB"/>
        </w:rPr>
      </w:pPr>
    </w:p>
    <w:p w:rsidR="00484E20" w:rsidRDefault="00484E20" w:rsidP="00484E20">
      <w:pPr>
        <w:pStyle w:val="Char"/>
        <w:jc w:val="both"/>
        <w:rPr>
          <w:rFonts w:ascii="Arial" w:hAnsi="Arial" w:cs="Arial"/>
          <w:color w:val="FF0000"/>
          <w:sz w:val="22"/>
          <w:szCs w:val="22"/>
          <w:lang w:val="en-GB"/>
        </w:rPr>
      </w:pPr>
    </w:p>
    <w:p w:rsidR="00484E20" w:rsidRDefault="00484E20" w:rsidP="00484E20">
      <w:pPr>
        <w:pStyle w:val="Char"/>
        <w:jc w:val="both"/>
        <w:rPr>
          <w:rFonts w:ascii="Arial" w:hAnsi="Arial" w:cs="Arial"/>
          <w:color w:val="FF0000"/>
          <w:sz w:val="22"/>
          <w:szCs w:val="22"/>
          <w:lang w:val="en-GB"/>
        </w:rPr>
      </w:pPr>
    </w:p>
    <w:p w:rsidR="00484E20" w:rsidRDefault="00484E20" w:rsidP="00484E20">
      <w:pPr>
        <w:pStyle w:val="Char"/>
        <w:jc w:val="both"/>
        <w:rPr>
          <w:rFonts w:ascii="Arial" w:hAnsi="Arial" w:cs="Arial"/>
          <w:color w:val="FF0000"/>
          <w:sz w:val="22"/>
          <w:szCs w:val="22"/>
          <w:lang w:val="en-GB"/>
        </w:rPr>
      </w:pPr>
    </w:p>
    <w:p w:rsidR="00484E20" w:rsidRDefault="00484E20" w:rsidP="00484E20">
      <w:pPr>
        <w:pStyle w:val="Char"/>
        <w:jc w:val="both"/>
        <w:rPr>
          <w:rFonts w:ascii="Arial" w:hAnsi="Arial" w:cs="Arial"/>
          <w:color w:val="FF0000"/>
          <w:sz w:val="22"/>
          <w:szCs w:val="22"/>
          <w:lang w:val="en-GB"/>
        </w:rPr>
      </w:pPr>
    </w:p>
    <w:p w:rsidR="00484E20" w:rsidRDefault="00484E20" w:rsidP="00484E20">
      <w:pPr>
        <w:pStyle w:val="Char"/>
        <w:jc w:val="both"/>
        <w:rPr>
          <w:rFonts w:ascii="Arial" w:hAnsi="Arial" w:cs="Arial"/>
          <w:color w:val="FF0000"/>
          <w:sz w:val="22"/>
          <w:szCs w:val="22"/>
          <w:lang w:val="en-GB"/>
        </w:rPr>
      </w:pPr>
    </w:p>
    <w:p w:rsidR="00484E20" w:rsidRDefault="00484E20" w:rsidP="00484E20">
      <w:pPr>
        <w:pStyle w:val="Char"/>
        <w:jc w:val="both"/>
        <w:rPr>
          <w:rFonts w:ascii="Arial" w:hAnsi="Arial" w:cs="Arial"/>
          <w:color w:val="FF0000"/>
          <w:sz w:val="22"/>
          <w:szCs w:val="22"/>
          <w:lang w:val="en-GB"/>
        </w:rPr>
      </w:pPr>
    </w:p>
    <w:p w:rsidR="00484E20" w:rsidRDefault="00484E20" w:rsidP="00484E20">
      <w:pPr>
        <w:pStyle w:val="Char"/>
        <w:jc w:val="both"/>
        <w:rPr>
          <w:rFonts w:ascii="Arial" w:hAnsi="Arial" w:cs="Arial"/>
          <w:color w:val="FF0000"/>
          <w:sz w:val="22"/>
          <w:szCs w:val="22"/>
          <w:lang w:val="en-GB"/>
        </w:rPr>
      </w:pPr>
    </w:p>
    <w:p w:rsidR="00484E20" w:rsidRDefault="00484E20" w:rsidP="00484E20">
      <w:pPr>
        <w:rPr>
          <w:rFonts w:eastAsia="Times New Roman"/>
          <w:lang w:eastAsia="es-ES"/>
        </w:rPr>
      </w:pPr>
    </w:p>
    <w:p w:rsidR="00484E20" w:rsidRPr="00E45C74" w:rsidRDefault="00484E20" w:rsidP="00484E20">
      <w:pPr>
        <w:rPr>
          <w:rFonts w:eastAsia="Times New Roman"/>
          <w:b/>
          <w:bCs/>
          <w:sz w:val="22"/>
          <w:lang w:val="en-GB" w:eastAsia="es-ES"/>
        </w:rPr>
      </w:pPr>
      <w:r w:rsidRPr="00E45C74">
        <w:rPr>
          <w:rFonts w:eastAsia="Times New Roman"/>
          <w:b/>
          <w:bCs/>
          <w:sz w:val="22"/>
          <w:lang w:val="en-GB" w:eastAsia="es-ES"/>
        </w:rPr>
        <w:t>CONTROL</w:t>
      </w:r>
    </w:p>
    <w:p w:rsidR="00484E20" w:rsidRPr="00E45C74" w:rsidRDefault="00484E20" w:rsidP="00484E20">
      <w:pPr>
        <w:rPr>
          <w:rFonts w:eastAsia="Times New Roman"/>
          <w:sz w:val="22"/>
          <w:lang w:val="en-GB" w:eastAsia="es-ES"/>
        </w:rPr>
      </w:pPr>
    </w:p>
    <w:p w:rsidR="00484E20" w:rsidRPr="001959C9" w:rsidRDefault="00484E20" w:rsidP="00484E20">
      <w:pPr>
        <w:pStyle w:val="ListParagraph1"/>
        <w:ind w:left="0" w:firstLine="0"/>
        <w:jc w:val="both"/>
        <w:rPr>
          <w:rFonts w:ascii="Arial" w:hAnsi="Arial" w:cs="Arial"/>
          <w:bCs/>
          <w:lang w:val="en-US"/>
        </w:rPr>
      </w:pPr>
      <w:r w:rsidRPr="00863541">
        <w:rPr>
          <w:rFonts w:ascii="Arial" w:hAnsi="Arial" w:cs="Arial"/>
          <w:bCs/>
        </w:rPr>
        <w:t xml:space="preserve">The notification of leishmaniasis is mandatory in the country. There is </w:t>
      </w:r>
      <w:r>
        <w:rPr>
          <w:rFonts w:ascii="Arial" w:hAnsi="Arial" w:cs="Arial"/>
          <w:bCs/>
        </w:rPr>
        <w:t xml:space="preserve">no </w:t>
      </w:r>
      <w:r w:rsidRPr="00863541">
        <w:rPr>
          <w:rFonts w:ascii="Arial" w:hAnsi="Arial" w:cs="Arial"/>
          <w:bCs/>
          <w:lang w:val="en-US"/>
        </w:rPr>
        <w:t xml:space="preserve">national </w:t>
      </w:r>
      <w:r>
        <w:rPr>
          <w:rFonts w:ascii="Arial" w:hAnsi="Arial" w:cs="Arial"/>
          <w:bCs/>
          <w:lang w:val="en-US"/>
        </w:rPr>
        <w:t>l</w:t>
      </w:r>
      <w:r w:rsidRPr="00863541">
        <w:rPr>
          <w:rFonts w:ascii="Arial" w:hAnsi="Arial" w:cs="Arial"/>
          <w:bCs/>
          <w:lang w:val="en-US"/>
        </w:rPr>
        <w:t>eishmaniasis control program</w:t>
      </w:r>
      <w:r>
        <w:rPr>
          <w:rFonts w:ascii="Arial" w:hAnsi="Arial" w:cs="Arial"/>
          <w:bCs/>
          <w:lang w:val="en-US"/>
        </w:rPr>
        <w:t>,</w:t>
      </w:r>
      <w:r w:rsidRPr="00863541">
        <w:rPr>
          <w:rFonts w:ascii="Arial" w:hAnsi="Arial" w:cs="Arial"/>
          <w:bCs/>
          <w:lang w:val="en-US"/>
        </w:rPr>
        <w:t xml:space="preserve"> but </w:t>
      </w:r>
      <w:r w:rsidRPr="00863541">
        <w:rPr>
          <w:rFonts w:ascii="Arial" w:hAnsi="Arial" w:cs="Arial"/>
        </w:rPr>
        <w:t>there is a strategic plan of action for integrated control of neglected tropical diseases (2010-2014), in</w:t>
      </w:r>
      <w:r>
        <w:rPr>
          <w:rFonts w:ascii="Arial" w:hAnsi="Arial" w:cs="Arial"/>
        </w:rPr>
        <w:t>cluding</w:t>
      </w:r>
      <w:r w:rsidRPr="00863541">
        <w:rPr>
          <w:rFonts w:ascii="Arial" w:hAnsi="Arial" w:cs="Arial"/>
        </w:rPr>
        <w:t xml:space="preserve"> leishmaniasis</w:t>
      </w:r>
      <w:r>
        <w:rPr>
          <w:rFonts w:ascii="Arial" w:hAnsi="Arial" w:cs="Arial"/>
        </w:rPr>
        <w:t xml:space="preserve">. </w:t>
      </w:r>
      <w:r w:rsidRPr="001959C9">
        <w:rPr>
          <w:rFonts w:ascii="Arial" w:hAnsi="Arial" w:cs="Arial"/>
          <w:bCs/>
          <w:lang w:val="en-US"/>
        </w:rPr>
        <w:t>There is no leishmaniasis vector control program</w:t>
      </w:r>
      <w:r>
        <w:rPr>
          <w:rFonts w:ascii="Arial" w:hAnsi="Arial" w:cs="Arial"/>
          <w:bCs/>
          <w:lang w:val="en-US"/>
        </w:rPr>
        <w:t xml:space="preserve">, but in the context of the malaria eradication program there is a </w:t>
      </w:r>
      <w:proofErr w:type="spellStart"/>
      <w:r>
        <w:rPr>
          <w:rFonts w:ascii="Arial" w:hAnsi="Arial" w:cs="Arial"/>
          <w:bCs/>
          <w:lang w:val="en-US"/>
        </w:rPr>
        <w:t>b</w:t>
      </w:r>
      <w:r w:rsidRPr="001959C9">
        <w:rPr>
          <w:rFonts w:ascii="Arial" w:hAnsi="Arial" w:cs="Arial"/>
          <w:bCs/>
          <w:lang w:val="en-US"/>
        </w:rPr>
        <w:t>ednet</w:t>
      </w:r>
      <w:proofErr w:type="spellEnd"/>
      <w:r w:rsidRPr="001959C9">
        <w:rPr>
          <w:rFonts w:ascii="Arial" w:hAnsi="Arial" w:cs="Arial"/>
          <w:bCs/>
          <w:lang w:val="en-US"/>
        </w:rPr>
        <w:t xml:space="preserve"> distribution program</w:t>
      </w:r>
      <w:r>
        <w:rPr>
          <w:rFonts w:ascii="Arial" w:hAnsi="Arial" w:cs="Arial"/>
          <w:bCs/>
          <w:lang w:val="en-US"/>
        </w:rPr>
        <w:t xml:space="preserve"> and regular indoor insecticide spraying. </w:t>
      </w:r>
    </w:p>
    <w:p w:rsidR="00484E20" w:rsidRDefault="00484E20" w:rsidP="00484E20">
      <w:pPr>
        <w:spacing w:line="360" w:lineRule="auto"/>
        <w:rPr>
          <w:b/>
          <w:sz w:val="22"/>
          <w:lang w:val="en-US"/>
        </w:rPr>
      </w:pPr>
    </w:p>
    <w:p w:rsidR="00484E20" w:rsidRPr="00512E47" w:rsidRDefault="00484E20" w:rsidP="00484E20">
      <w:pPr>
        <w:spacing w:line="360" w:lineRule="auto"/>
        <w:rPr>
          <w:b/>
          <w:sz w:val="22"/>
          <w:lang w:val="en-US"/>
        </w:rPr>
      </w:pPr>
      <w:r w:rsidRPr="00512E47">
        <w:rPr>
          <w:b/>
          <w:sz w:val="22"/>
          <w:lang w:val="en-US"/>
        </w:rPr>
        <w:lastRenderedPageBreak/>
        <w:t xml:space="preserve">DIAGNOSIS, TREATMENT </w:t>
      </w:r>
    </w:p>
    <w:p w:rsidR="00484E20" w:rsidRDefault="00484E20" w:rsidP="00484E20">
      <w:pPr>
        <w:rPr>
          <w:b/>
          <w:bCs/>
          <w:sz w:val="22"/>
          <w:lang w:val="en-US"/>
        </w:rPr>
      </w:pPr>
      <w:r w:rsidRPr="00512E47">
        <w:rPr>
          <w:b/>
          <w:bCs/>
          <w:sz w:val="22"/>
          <w:lang w:val="en-US"/>
        </w:rPr>
        <w:t>Diagnosis</w:t>
      </w:r>
    </w:p>
    <w:p w:rsidR="00484E20" w:rsidRPr="00EF6EC8" w:rsidRDefault="00484E20" w:rsidP="00484E20">
      <w:pPr>
        <w:pStyle w:val="Char0"/>
        <w:rPr>
          <w:rFonts w:ascii="Arial" w:hAnsi="Arial" w:cs="Arial"/>
          <w:sz w:val="22"/>
          <w:szCs w:val="22"/>
          <w:lang w:val="en-GB"/>
        </w:rPr>
      </w:pPr>
      <w:r w:rsidRPr="00EF6EC8">
        <w:rPr>
          <w:rFonts w:ascii="Arial" w:hAnsi="Arial" w:cs="Arial"/>
          <w:bCs/>
          <w:sz w:val="22"/>
          <w:szCs w:val="22"/>
          <w:lang w:val="en-GB"/>
        </w:rPr>
        <w:t>VL:</w:t>
      </w:r>
      <w:r w:rsidRPr="00EF6EC8">
        <w:rPr>
          <w:rFonts w:ascii="Arial" w:hAnsi="Arial" w:cs="Arial"/>
          <w:sz w:val="22"/>
          <w:szCs w:val="22"/>
          <w:lang w:val="en-GB"/>
        </w:rPr>
        <w:t xml:space="preserve"> confirmation by microscopic examination of bone marrow or spleen aspirates. </w:t>
      </w:r>
    </w:p>
    <w:p w:rsidR="00484E20" w:rsidRPr="00B37375" w:rsidRDefault="00484E20" w:rsidP="00484E20">
      <w:pPr>
        <w:pStyle w:val="Char0"/>
        <w:rPr>
          <w:rFonts w:ascii="Arial" w:hAnsi="Arial" w:cs="Arial"/>
          <w:sz w:val="22"/>
          <w:szCs w:val="22"/>
          <w:lang w:val="en-GB"/>
        </w:rPr>
      </w:pPr>
      <w:r w:rsidRPr="00EF6EC8">
        <w:rPr>
          <w:rFonts w:ascii="Arial" w:hAnsi="Arial" w:cs="Arial"/>
          <w:bCs/>
          <w:sz w:val="22"/>
          <w:szCs w:val="22"/>
          <w:lang w:val="en-GB"/>
        </w:rPr>
        <w:t>CL</w:t>
      </w:r>
      <w:r w:rsidRPr="00EF6EC8">
        <w:rPr>
          <w:rFonts w:ascii="Arial" w:hAnsi="Arial" w:cs="Arial"/>
          <w:sz w:val="22"/>
          <w:szCs w:val="22"/>
          <w:lang w:val="en-GB"/>
        </w:rPr>
        <w:t>: on clinical</w:t>
      </w:r>
      <w:r w:rsidRPr="00B37375">
        <w:rPr>
          <w:rFonts w:ascii="Arial" w:hAnsi="Arial" w:cs="Arial"/>
          <w:sz w:val="22"/>
          <w:szCs w:val="22"/>
          <w:lang w:val="en-GB"/>
        </w:rPr>
        <w:t xml:space="preserve"> grounds</w:t>
      </w:r>
      <w:r>
        <w:rPr>
          <w:rFonts w:ascii="Arial" w:hAnsi="Arial" w:cs="Arial"/>
          <w:sz w:val="22"/>
          <w:szCs w:val="22"/>
          <w:lang w:val="en-GB"/>
        </w:rPr>
        <w:t>,</w:t>
      </w:r>
      <w:r w:rsidRPr="00B37375">
        <w:rPr>
          <w:rFonts w:ascii="Arial" w:hAnsi="Arial" w:cs="Arial"/>
          <w:sz w:val="22"/>
          <w:szCs w:val="22"/>
          <w:lang w:val="en-GB"/>
        </w:rPr>
        <w:t xml:space="preserve"> confirmation by microscopic examination of skin lesion samples</w:t>
      </w:r>
      <w:r>
        <w:rPr>
          <w:rFonts w:ascii="Arial" w:hAnsi="Arial" w:cs="Arial"/>
          <w:sz w:val="22"/>
          <w:szCs w:val="22"/>
          <w:lang w:val="en-GB"/>
        </w:rPr>
        <w:t>.</w:t>
      </w:r>
    </w:p>
    <w:p w:rsidR="00484E20" w:rsidRPr="00512E47" w:rsidRDefault="00484E20" w:rsidP="00484E20">
      <w:pPr>
        <w:rPr>
          <w:sz w:val="22"/>
          <w:lang w:val="en-US"/>
        </w:rPr>
      </w:pPr>
    </w:p>
    <w:p w:rsidR="00484E20" w:rsidRPr="00512E47" w:rsidRDefault="00484E20" w:rsidP="00484E20">
      <w:pPr>
        <w:rPr>
          <w:sz w:val="22"/>
          <w:lang w:val="en-US"/>
        </w:rPr>
      </w:pPr>
      <w:r w:rsidRPr="00512E47">
        <w:rPr>
          <w:b/>
          <w:bCs/>
          <w:sz w:val="22"/>
          <w:lang w:val="en-US"/>
        </w:rPr>
        <w:t xml:space="preserve">Treatment </w:t>
      </w:r>
    </w:p>
    <w:p w:rsidR="00484E20" w:rsidRPr="00EF6EC8" w:rsidRDefault="00484E20" w:rsidP="00484E20">
      <w:pPr>
        <w:pStyle w:val="Char0"/>
        <w:rPr>
          <w:rFonts w:ascii="Arial" w:hAnsi="Arial" w:cs="Arial"/>
          <w:sz w:val="22"/>
          <w:szCs w:val="22"/>
          <w:lang w:val="en-GB"/>
        </w:rPr>
      </w:pPr>
      <w:r w:rsidRPr="00EF6EC8">
        <w:rPr>
          <w:rFonts w:ascii="Arial" w:hAnsi="Arial" w:cs="Arial"/>
          <w:bCs/>
          <w:sz w:val="22"/>
          <w:szCs w:val="22"/>
          <w:lang w:val="en-GB"/>
        </w:rPr>
        <w:t>VL</w:t>
      </w:r>
      <w:r w:rsidRPr="00EF6EC8">
        <w:rPr>
          <w:rFonts w:ascii="Arial" w:hAnsi="Arial" w:cs="Arial"/>
          <w:sz w:val="22"/>
          <w:szCs w:val="22"/>
          <w:lang w:val="en-GB"/>
        </w:rPr>
        <w:t xml:space="preserve">: </w:t>
      </w:r>
      <w:r w:rsidRPr="00EF6EC8">
        <w:rPr>
          <w:rFonts w:ascii="Arial" w:hAnsi="Arial" w:cs="Arial"/>
          <w:bCs/>
          <w:color w:val="000000"/>
          <w:sz w:val="22"/>
          <w:szCs w:val="22"/>
          <w:lang w:val="en-GB"/>
        </w:rPr>
        <w:t xml:space="preserve">antimonials, 20 mg </w:t>
      </w:r>
      <w:proofErr w:type="spellStart"/>
      <w:r w:rsidRPr="00EF6EC8">
        <w:rPr>
          <w:rFonts w:ascii="Arial" w:hAnsi="Arial" w:cs="Arial"/>
          <w:bCs/>
          <w:color w:val="000000"/>
          <w:sz w:val="22"/>
          <w:szCs w:val="22"/>
          <w:lang w:val="en-GB"/>
        </w:rPr>
        <w:t>Sb</w:t>
      </w:r>
      <w:r w:rsidRPr="00EF6EC8">
        <w:rPr>
          <w:rFonts w:ascii="Arial" w:hAnsi="Arial" w:cs="Arial"/>
          <w:bCs/>
          <w:color w:val="000000"/>
          <w:sz w:val="22"/>
          <w:szCs w:val="22"/>
          <w:vertAlign w:val="superscript"/>
          <w:lang w:val="en-GB"/>
        </w:rPr>
        <w:t>v</w:t>
      </w:r>
      <w:proofErr w:type="spellEnd"/>
      <w:r w:rsidRPr="00EF6EC8">
        <w:rPr>
          <w:rFonts w:ascii="Arial" w:hAnsi="Arial" w:cs="Arial"/>
          <w:bCs/>
          <w:color w:val="000000"/>
          <w:sz w:val="22"/>
          <w:szCs w:val="22"/>
          <w:lang w:val="en-GB"/>
        </w:rPr>
        <w:t>/kg/day</w:t>
      </w:r>
      <w:r w:rsidRPr="00EF6EC8">
        <w:rPr>
          <w:rFonts w:ascii="Arial" w:hAnsi="Arial" w:cs="Arial"/>
          <w:bCs/>
          <w:color w:val="000000"/>
          <w:sz w:val="22"/>
          <w:szCs w:val="22"/>
          <w:vertAlign w:val="superscript"/>
          <w:lang w:val="en-GB"/>
        </w:rPr>
        <w:t xml:space="preserve"> </w:t>
      </w:r>
      <w:r w:rsidRPr="00EF6EC8">
        <w:rPr>
          <w:rFonts w:ascii="Arial" w:hAnsi="Arial" w:cs="Arial"/>
          <w:bCs/>
          <w:color w:val="000000"/>
          <w:sz w:val="22"/>
          <w:szCs w:val="22"/>
          <w:lang w:val="en-GB"/>
        </w:rPr>
        <w:t>for 30 days.</w:t>
      </w:r>
    </w:p>
    <w:p w:rsidR="00484E20" w:rsidRPr="00664FF8" w:rsidRDefault="00484E20" w:rsidP="00484E20">
      <w:pPr>
        <w:pStyle w:val="Char0"/>
        <w:rPr>
          <w:rFonts w:ascii="Arial" w:hAnsi="Arial" w:cs="Arial"/>
          <w:bCs/>
          <w:color w:val="000000"/>
          <w:sz w:val="22"/>
          <w:szCs w:val="22"/>
          <w:lang w:val="en-GB"/>
        </w:rPr>
      </w:pPr>
      <w:r w:rsidRPr="00EF6EC8">
        <w:rPr>
          <w:rFonts w:ascii="Arial" w:hAnsi="Arial" w:cs="Arial"/>
          <w:bCs/>
          <w:sz w:val="22"/>
          <w:szCs w:val="22"/>
          <w:lang w:val="en-GB"/>
        </w:rPr>
        <w:t>CL</w:t>
      </w:r>
      <w:r w:rsidRPr="00EF6EC8">
        <w:rPr>
          <w:rFonts w:ascii="Arial" w:hAnsi="Arial" w:cs="Arial"/>
          <w:sz w:val="22"/>
          <w:szCs w:val="22"/>
          <w:lang w:val="en-GB"/>
        </w:rPr>
        <w:t xml:space="preserve">: </w:t>
      </w:r>
      <w:r w:rsidRPr="00EF6EC8">
        <w:rPr>
          <w:rFonts w:ascii="Arial" w:hAnsi="Arial" w:cs="Arial"/>
          <w:bCs/>
          <w:color w:val="000000"/>
          <w:sz w:val="22"/>
          <w:szCs w:val="22"/>
          <w:lang w:val="en-GB"/>
        </w:rPr>
        <w:t>antimonials</w:t>
      </w:r>
      <w:r>
        <w:rPr>
          <w:rFonts w:ascii="Arial" w:hAnsi="Arial" w:cs="Arial"/>
          <w:bCs/>
          <w:color w:val="000000"/>
          <w:sz w:val="22"/>
          <w:szCs w:val="22"/>
          <w:lang w:val="en-GB"/>
        </w:rPr>
        <w:t xml:space="preserve">, 20 </w:t>
      </w:r>
      <w:r w:rsidRPr="00FF73DD">
        <w:rPr>
          <w:rFonts w:ascii="Arial" w:hAnsi="Arial" w:cs="Arial"/>
          <w:bCs/>
          <w:color w:val="000000"/>
          <w:sz w:val="22"/>
          <w:szCs w:val="22"/>
          <w:lang w:val="en-GB"/>
        </w:rPr>
        <w:t>mg</w:t>
      </w:r>
      <w:r>
        <w:rPr>
          <w:rFonts w:ascii="Arial" w:hAnsi="Arial" w:cs="Arial"/>
          <w:bCs/>
          <w:color w:val="000000"/>
          <w:sz w:val="22"/>
          <w:szCs w:val="22"/>
          <w:lang w:val="en-GB"/>
        </w:rPr>
        <w:t xml:space="preserve"> </w:t>
      </w:r>
      <w:proofErr w:type="spellStart"/>
      <w:r w:rsidRPr="00FF73DD">
        <w:rPr>
          <w:rFonts w:ascii="Arial" w:hAnsi="Arial" w:cs="Arial"/>
          <w:bCs/>
          <w:color w:val="000000"/>
          <w:sz w:val="22"/>
          <w:szCs w:val="22"/>
          <w:lang w:val="en-GB"/>
        </w:rPr>
        <w:t>Sb</w:t>
      </w:r>
      <w:r w:rsidRPr="00FF73DD">
        <w:rPr>
          <w:rFonts w:ascii="Arial" w:hAnsi="Arial" w:cs="Arial"/>
          <w:bCs/>
          <w:color w:val="000000"/>
          <w:sz w:val="22"/>
          <w:szCs w:val="22"/>
          <w:vertAlign w:val="superscript"/>
          <w:lang w:val="en-GB"/>
        </w:rPr>
        <w:t>v</w:t>
      </w:r>
      <w:proofErr w:type="spellEnd"/>
      <w:r w:rsidRPr="00FF73DD">
        <w:rPr>
          <w:rFonts w:ascii="Arial" w:hAnsi="Arial" w:cs="Arial"/>
          <w:bCs/>
          <w:color w:val="000000"/>
          <w:sz w:val="22"/>
          <w:szCs w:val="22"/>
          <w:lang w:val="en-GB"/>
        </w:rPr>
        <w:t>/kg/day</w:t>
      </w:r>
      <w:r>
        <w:rPr>
          <w:rFonts w:ascii="Arial" w:hAnsi="Arial" w:cs="Arial"/>
          <w:bCs/>
          <w:color w:val="000000"/>
          <w:sz w:val="22"/>
          <w:szCs w:val="22"/>
          <w:vertAlign w:val="superscript"/>
          <w:lang w:val="en-GB"/>
        </w:rPr>
        <w:t xml:space="preserve"> </w:t>
      </w:r>
      <w:r>
        <w:rPr>
          <w:rFonts w:ascii="Arial" w:hAnsi="Arial" w:cs="Arial"/>
          <w:bCs/>
          <w:color w:val="000000"/>
          <w:sz w:val="22"/>
          <w:szCs w:val="22"/>
          <w:lang w:val="en-GB"/>
        </w:rPr>
        <w:t>for 21 days. T</w:t>
      </w:r>
      <w:r w:rsidRPr="00B37375">
        <w:rPr>
          <w:rFonts w:ascii="Arial" w:hAnsi="Arial" w:cs="Arial"/>
          <w:sz w:val="22"/>
          <w:szCs w:val="22"/>
          <w:lang w:val="en-GB"/>
        </w:rPr>
        <w:t xml:space="preserve">he </w:t>
      </w:r>
      <w:r>
        <w:rPr>
          <w:rFonts w:ascii="Arial" w:hAnsi="Arial" w:cs="Arial"/>
          <w:sz w:val="22"/>
          <w:szCs w:val="22"/>
          <w:lang w:val="en-GB"/>
        </w:rPr>
        <w:t>n</w:t>
      </w:r>
      <w:r w:rsidRPr="00B37375">
        <w:rPr>
          <w:rFonts w:ascii="Arial" w:hAnsi="Arial" w:cs="Arial"/>
          <w:sz w:val="22"/>
          <w:szCs w:val="22"/>
          <w:lang w:val="en-GB"/>
        </w:rPr>
        <w:t>ational referral hospital in Asmara</w:t>
      </w:r>
      <w:r>
        <w:rPr>
          <w:rFonts w:ascii="Arial" w:hAnsi="Arial" w:cs="Arial"/>
          <w:sz w:val="22"/>
          <w:szCs w:val="22"/>
          <w:lang w:val="en-GB"/>
        </w:rPr>
        <w:t xml:space="preserve"> </w:t>
      </w:r>
      <w:r w:rsidRPr="00B37375">
        <w:rPr>
          <w:rFonts w:ascii="Arial" w:hAnsi="Arial" w:cs="Arial"/>
          <w:sz w:val="22"/>
          <w:szCs w:val="22"/>
          <w:lang w:val="en-GB"/>
        </w:rPr>
        <w:t>treated 10 cases in 2 years, all with a good response in follow up after 2-3 months.</w:t>
      </w:r>
    </w:p>
    <w:p w:rsidR="00484E20" w:rsidRPr="001959C9" w:rsidRDefault="00484E20" w:rsidP="00484E20">
      <w:pPr>
        <w:rPr>
          <w:bCs/>
          <w:sz w:val="22"/>
          <w:lang w:val="en-US"/>
        </w:rPr>
      </w:pPr>
    </w:p>
    <w:p w:rsidR="00484E20" w:rsidRPr="00E45C74" w:rsidRDefault="00484E20" w:rsidP="00484E20">
      <w:pPr>
        <w:rPr>
          <w:sz w:val="22"/>
          <w:lang w:val="en-GB"/>
        </w:rPr>
      </w:pPr>
    </w:p>
    <w:p w:rsidR="00484E20" w:rsidRPr="00586CC2" w:rsidRDefault="00484E20" w:rsidP="00484E20">
      <w:pPr>
        <w:spacing w:line="360" w:lineRule="auto"/>
        <w:rPr>
          <w:b/>
          <w:bCs/>
          <w:sz w:val="22"/>
          <w:lang w:val="en-US"/>
        </w:rPr>
      </w:pPr>
      <w:r w:rsidRPr="00586CC2">
        <w:rPr>
          <w:b/>
          <w:bCs/>
          <w:sz w:val="22"/>
          <w:lang w:val="en-US"/>
        </w:rPr>
        <w:t xml:space="preserve">ACCESS TO CARE </w:t>
      </w:r>
    </w:p>
    <w:p w:rsidR="00484E20" w:rsidRDefault="00484E20" w:rsidP="00484E20">
      <w:pPr>
        <w:ind w:left="0" w:firstLine="0"/>
        <w:rPr>
          <w:sz w:val="22"/>
          <w:lang w:val="en-GB"/>
        </w:rPr>
      </w:pPr>
      <w:r w:rsidRPr="00FF73DD">
        <w:rPr>
          <w:bCs/>
          <w:sz w:val="22"/>
          <w:lang w:val="en-GB"/>
        </w:rPr>
        <w:t xml:space="preserve">Care for leishmaniasis is </w:t>
      </w:r>
      <w:r>
        <w:rPr>
          <w:bCs/>
          <w:sz w:val="22"/>
          <w:lang w:val="en-GB"/>
        </w:rPr>
        <w:t xml:space="preserve">not </w:t>
      </w:r>
      <w:r w:rsidRPr="00FF73DD">
        <w:rPr>
          <w:bCs/>
          <w:sz w:val="22"/>
          <w:lang w:val="en-GB"/>
        </w:rPr>
        <w:t>provided for free</w:t>
      </w:r>
      <w:r>
        <w:rPr>
          <w:bCs/>
          <w:sz w:val="22"/>
          <w:lang w:val="en-GB"/>
        </w:rPr>
        <w:t xml:space="preserve">. Health care in </w:t>
      </w:r>
      <w:smartTag w:uri="urn:schemas-microsoft-com:office:smarttags" w:element="place">
        <w:smartTag w:uri="urn:schemas-microsoft-com:office:smarttags" w:element="country-region">
          <w:r>
            <w:rPr>
              <w:bCs/>
              <w:sz w:val="22"/>
              <w:lang w:val="en-GB"/>
            </w:rPr>
            <w:t>Eritrea</w:t>
          </w:r>
        </w:smartTag>
      </w:smartTag>
      <w:r>
        <w:rPr>
          <w:bCs/>
          <w:sz w:val="22"/>
          <w:lang w:val="en-GB"/>
        </w:rPr>
        <w:t xml:space="preserve"> is charged according to a cost recovery scheme. Antimonials were present in hospitals in 2007 and 2008, but it is unknown if all patients have access to treatment. Both forms of leishmaniasis are suspected to be </w:t>
      </w:r>
      <w:proofErr w:type="spellStart"/>
      <w:r>
        <w:rPr>
          <w:bCs/>
          <w:sz w:val="22"/>
          <w:lang w:val="en-GB"/>
        </w:rPr>
        <w:t>underdiagnosed</w:t>
      </w:r>
      <w:proofErr w:type="spellEnd"/>
      <w:r>
        <w:rPr>
          <w:bCs/>
          <w:sz w:val="22"/>
          <w:lang w:val="en-GB"/>
        </w:rPr>
        <w:t>.</w:t>
      </w:r>
    </w:p>
    <w:p w:rsidR="00484E20" w:rsidRPr="00E45C74" w:rsidRDefault="00484E20" w:rsidP="00484E20">
      <w:pPr>
        <w:ind w:left="0" w:firstLine="0"/>
        <w:rPr>
          <w:sz w:val="22"/>
          <w:lang w:val="en-GB"/>
        </w:rPr>
      </w:pPr>
    </w:p>
    <w:p w:rsidR="00484E20" w:rsidRPr="00E45C74" w:rsidRDefault="00484E20" w:rsidP="00484E20">
      <w:pPr>
        <w:ind w:left="0" w:firstLine="0"/>
        <w:rPr>
          <w:sz w:val="22"/>
          <w:lang w:val="en-GB"/>
        </w:rPr>
      </w:pPr>
      <w:r w:rsidRPr="00E45C74">
        <w:rPr>
          <w:b/>
          <w:sz w:val="22"/>
          <w:lang w:val="en-GB"/>
        </w:rPr>
        <w:t>ACCESS TO DRUGS</w:t>
      </w:r>
      <w:r w:rsidRPr="00E45C74">
        <w:rPr>
          <w:sz w:val="22"/>
          <w:lang w:val="en-GB"/>
        </w:rPr>
        <w:t xml:space="preserve"> </w:t>
      </w:r>
    </w:p>
    <w:p w:rsidR="00484E20" w:rsidRPr="00E45C74" w:rsidRDefault="00484E20" w:rsidP="00484E20">
      <w:pPr>
        <w:ind w:left="0" w:firstLine="0"/>
        <w:rPr>
          <w:sz w:val="22"/>
          <w:lang w:val="en-GB"/>
        </w:rPr>
      </w:pPr>
    </w:p>
    <w:p w:rsidR="00484E20" w:rsidRDefault="00484E20" w:rsidP="00484E20">
      <w:pPr>
        <w:ind w:left="0" w:firstLine="0"/>
        <w:rPr>
          <w:bCs/>
          <w:sz w:val="22"/>
          <w:lang w:val="en-GB"/>
        </w:rPr>
      </w:pPr>
      <w:r w:rsidRPr="00FF73DD">
        <w:rPr>
          <w:bCs/>
          <w:sz w:val="22"/>
          <w:lang w:val="en-GB"/>
        </w:rPr>
        <w:t xml:space="preserve">Meglumine antimoniate </w:t>
      </w:r>
      <w:r>
        <w:rPr>
          <w:bCs/>
          <w:sz w:val="22"/>
          <w:lang w:val="en-GB"/>
        </w:rPr>
        <w:t xml:space="preserve">and sodium stibogluconate are included in </w:t>
      </w:r>
      <w:r w:rsidRPr="00FF73DD">
        <w:rPr>
          <w:bCs/>
          <w:sz w:val="22"/>
          <w:lang w:val="en-GB"/>
        </w:rPr>
        <w:t>the National Essential Drug List.</w:t>
      </w:r>
      <w:r>
        <w:rPr>
          <w:bCs/>
          <w:sz w:val="22"/>
          <w:lang w:val="en-GB"/>
        </w:rPr>
        <w:t xml:space="preserve"> No antimonials are registered in </w:t>
      </w:r>
      <w:smartTag w:uri="urn:schemas-microsoft-com:office:smarttags" w:element="place">
        <w:smartTag w:uri="urn:schemas-microsoft-com:office:smarttags" w:element="country-region">
          <w:r>
            <w:rPr>
              <w:bCs/>
              <w:sz w:val="22"/>
              <w:lang w:val="en-GB"/>
            </w:rPr>
            <w:t>Eritrea</w:t>
          </w:r>
        </w:smartTag>
      </w:smartTag>
      <w:r>
        <w:rPr>
          <w:bCs/>
          <w:sz w:val="22"/>
          <w:lang w:val="en-GB"/>
        </w:rPr>
        <w:t xml:space="preserve">. </w:t>
      </w:r>
    </w:p>
    <w:p w:rsidR="00484E20" w:rsidRPr="00FF73DD" w:rsidRDefault="00484E20" w:rsidP="00484E20">
      <w:pPr>
        <w:rPr>
          <w:bCs/>
          <w:sz w:val="22"/>
          <w:lang w:val="en-GB"/>
        </w:rPr>
      </w:pPr>
    </w:p>
    <w:p w:rsidR="00484E20" w:rsidRDefault="00484E20" w:rsidP="00484E20">
      <w:pPr>
        <w:rPr>
          <w:sz w:val="22"/>
          <w:lang w:val="en-US"/>
        </w:rPr>
      </w:pPr>
    </w:p>
    <w:p w:rsidR="00484E20" w:rsidRDefault="00484E20" w:rsidP="00484E20">
      <w:pPr>
        <w:rPr>
          <w:b/>
          <w:sz w:val="22"/>
          <w:lang w:val="en-GB"/>
        </w:rPr>
      </w:pPr>
      <w:r w:rsidRPr="00E45C74">
        <w:rPr>
          <w:b/>
          <w:sz w:val="22"/>
          <w:lang w:val="en-GB"/>
        </w:rPr>
        <w:t>SOURCES OF INFORMATION</w:t>
      </w:r>
    </w:p>
    <w:p w:rsidR="00484E20" w:rsidRDefault="00484E20" w:rsidP="00484E20">
      <w:pPr>
        <w:rPr>
          <w:b/>
          <w:sz w:val="22"/>
          <w:lang w:val="en-GB"/>
        </w:rPr>
      </w:pPr>
    </w:p>
    <w:p w:rsidR="00484E20" w:rsidRPr="008C195B" w:rsidRDefault="00484E20" w:rsidP="00484E20">
      <w:pPr>
        <w:numPr>
          <w:ilvl w:val="0"/>
          <w:numId w:val="5"/>
        </w:numPr>
        <w:rPr>
          <w:i/>
          <w:iCs/>
          <w:sz w:val="22"/>
          <w:lang w:val="en-GB"/>
        </w:rPr>
      </w:pPr>
      <w:r w:rsidRPr="008C195B">
        <w:rPr>
          <w:sz w:val="22"/>
          <w:lang w:val="en-GB"/>
        </w:rPr>
        <w:t xml:space="preserve">Dr. </w:t>
      </w:r>
      <w:proofErr w:type="spellStart"/>
      <w:r w:rsidRPr="008C195B">
        <w:rPr>
          <w:sz w:val="22"/>
          <w:lang w:val="en-GB"/>
        </w:rPr>
        <w:t>Yohannes</w:t>
      </w:r>
      <w:proofErr w:type="spellEnd"/>
      <w:r w:rsidRPr="008C195B">
        <w:rPr>
          <w:sz w:val="22"/>
          <w:lang w:val="en-GB"/>
        </w:rPr>
        <w:t xml:space="preserve"> </w:t>
      </w:r>
      <w:proofErr w:type="spellStart"/>
      <w:r w:rsidRPr="008C195B">
        <w:rPr>
          <w:sz w:val="22"/>
          <w:lang w:val="en-GB"/>
        </w:rPr>
        <w:t>Ghebrat</w:t>
      </w:r>
      <w:proofErr w:type="spellEnd"/>
      <w:r w:rsidRPr="008C195B">
        <w:rPr>
          <w:sz w:val="22"/>
          <w:lang w:val="en-GB"/>
        </w:rPr>
        <w:t>. Disease Prevention and Control; WHO Eritrea</w:t>
      </w:r>
      <w:r>
        <w:rPr>
          <w:sz w:val="22"/>
          <w:lang w:val="en-GB"/>
        </w:rPr>
        <w:t>.</w:t>
      </w:r>
      <w:r w:rsidRPr="008C195B">
        <w:rPr>
          <w:sz w:val="22"/>
          <w:lang w:val="en-GB"/>
        </w:rPr>
        <w:t xml:space="preserve"> </w:t>
      </w:r>
      <w:r w:rsidRPr="008C195B">
        <w:rPr>
          <w:i/>
          <w:iCs/>
          <w:sz w:val="22"/>
          <w:lang w:val="en-GB"/>
        </w:rPr>
        <w:t xml:space="preserve">Lymphatic </w:t>
      </w:r>
      <w:proofErr w:type="spellStart"/>
      <w:r w:rsidRPr="008C195B">
        <w:rPr>
          <w:i/>
          <w:iCs/>
          <w:sz w:val="22"/>
          <w:lang w:val="en-GB"/>
        </w:rPr>
        <w:t>filariasis</w:t>
      </w:r>
      <w:proofErr w:type="spellEnd"/>
      <w:r w:rsidRPr="008C195B">
        <w:rPr>
          <w:i/>
          <w:iCs/>
          <w:sz w:val="22"/>
          <w:lang w:val="en-GB"/>
        </w:rPr>
        <w:t xml:space="preserve">, </w:t>
      </w:r>
      <w:proofErr w:type="spellStart"/>
      <w:r w:rsidRPr="008C195B">
        <w:rPr>
          <w:i/>
          <w:iCs/>
          <w:sz w:val="22"/>
          <w:lang w:val="en-GB"/>
        </w:rPr>
        <w:t>schistosomiasis</w:t>
      </w:r>
      <w:proofErr w:type="spellEnd"/>
      <w:r w:rsidRPr="008C195B">
        <w:rPr>
          <w:i/>
          <w:iCs/>
          <w:sz w:val="22"/>
          <w:lang w:val="en-GB"/>
        </w:rPr>
        <w:t>, soil transmit</w:t>
      </w:r>
      <w:r>
        <w:rPr>
          <w:i/>
          <w:iCs/>
          <w:sz w:val="22"/>
          <w:lang w:val="en-GB"/>
        </w:rPr>
        <w:t>t</w:t>
      </w:r>
      <w:r w:rsidRPr="008C195B">
        <w:rPr>
          <w:i/>
          <w:iCs/>
          <w:sz w:val="22"/>
          <w:lang w:val="en-GB"/>
        </w:rPr>
        <w:t xml:space="preserve">ed </w:t>
      </w:r>
      <w:proofErr w:type="spellStart"/>
      <w:r w:rsidRPr="008C195B">
        <w:rPr>
          <w:i/>
          <w:iCs/>
          <w:sz w:val="22"/>
          <w:lang w:val="en-GB"/>
        </w:rPr>
        <w:t>helminthiases</w:t>
      </w:r>
      <w:proofErr w:type="spellEnd"/>
      <w:r w:rsidRPr="008C195B">
        <w:rPr>
          <w:i/>
          <w:iCs/>
          <w:sz w:val="22"/>
          <w:lang w:val="en-GB"/>
        </w:rPr>
        <w:t xml:space="preserve"> and </w:t>
      </w:r>
      <w:proofErr w:type="spellStart"/>
      <w:r w:rsidRPr="008C195B">
        <w:rPr>
          <w:i/>
          <w:iCs/>
          <w:sz w:val="22"/>
          <w:lang w:val="en-GB"/>
        </w:rPr>
        <w:t>leismaniasis</w:t>
      </w:r>
      <w:proofErr w:type="spellEnd"/>
      <w:r w:rsidRPr="008C195B">
        <w:rPr>
          <w:i/>
          <w:iCs/>
          <w:sz w:val="22"/>
          <w:lang w:val="en-GB"/>
        </w:rPr>
        <w:t xml:space="preserve"> assessment. Internal report, September 2009.</w:t>
      </w:r>
    </w:p>
    <w:p w:rsidR="00484E20" w:rsidRPr="00714967" w:rsidRDefault="00484E20" w:rsidP="00484E20">
      <w:pPr>
        <w:ind w:left="0" w:firstLine="0"/>
        <w:rPr>
          <w:sz w:val="22"/>
          <w:lang w:val="en-GB"/>
        </w:rPr>
      </w:pPr>
    </w:p>
    <w:p w:rsidR="00484E20" w:rsidRPr="00714967" w:rsidRDefault="00484E20" w:rsidP="00484E20">
      <w:pPr>
        <w:ind w:left="0" w:firstLine="0"/>
        <w:rPr>
          <w:sz w:val="22"/>
          <w:lang w:val="en-GB"/>
        </w:rPr>
      </w:pPr>
    </w:p>
    <w:p w:rsidR="00484E20" w:rsidRPr="002F2F3C" w:rsidRDefault="00484E20" w:rsidP="00484E20">
      <w:pPr>
        <w:ind w:left="0" w:firstLine="0"/>
        <w:rPr>
          <w:sz w:val="22"/>
          <w:lang w:val="en-GB"/>
        </w:rPr>
      </w:pPr>
      <w:r>
        <w:rPr>
          <w:sz w:val="22"/>
          <w:lang w:val="nl-NL"/>
        </w:rPr>
        <w:t xml:space="preserve">1. </w:t>
      </w:r>
      <w:r w:rsidRPr="00714967">
        <w:rPr>
          <w:sz w:val="22"/>
          <w:lang w:val="nl-NL"/>
        </w:rPr>
        <w:t>Meenken C, Agtmael MA van, Kate RW ten, Horn GJ van den</w:t>
      </w:r>
      <w:r>
        <w:rPr>
          <w:sz w:val="22"/>
          <w:lang w:val="nl-NL"/>
        </w:rPr>
        <w:t xml:space="preserve"> (2004)</w:t>
      </w:r>
      <w:r w:rsidRPr="00714967">
        <w:rPr>
          <w:sz w:val="22"/>
          <w:lang w:val="nl-NL"/>
        </w:rPr>
        <w:t xml:space="preserve">. </w:t>
      </w:r>
      <w:proofErr w:type="spellStart"/>
      <w:proofErr w:type="gramStart"/>
      <w:r w:rsidRPr="002F2F3C">
        <w:rPr>
          <w:sz w:val="22"/>
          <w:lang w:val="en-GB"/>
        </w:rPr>
        <w:t>Fulminant</w:t>
      </w:r>
      <w:proofErr w:type="spellEnd"/>
      <w:r w:rsidRPr="002F2F3C">
        <w:rPr>
          <w:sz w:val="22"/>
          <w:lang w:val="en-GB"/>
        </w:rPr>
        <w:t xml:space="preserve"> ocular leishmaniasis in an HIV-1 positive patient.</w:t>
      </w:r>
      <w:proofErr w:type="gramEnd"/>
      <w:r w:rsidRPr="002F2F3C">
        <w:rPr>
          <w:sz w:val="22"/>
          <w:lang w:val="en-GB"/>
        </w:rPr>
        <w:t xml:space="preserve"> </w:t>
      </w:r>
      <w:proofErr w:type="gramStart"/>
      <w:r w:rsidRPr="002F2F3C">
        <w:rPr>
          <w:sz w:val="22"/>
          <w:lang w:val="en-GB"/>
        </w:rPr>
        <w:t>A</w:t>
      </w:r>
      <w:r>
        <w:rPr>
          <w:sz w:val="22"/>
          <w:lang w:val="en-GB"/>
        </w:rPr>
        <w:t>IDS</w:t>
      </w:r>
      <w:r w:rsidRPr="002F2F3C">
        <w:rPr>
          <w:sz w:val="22"/>
          <w:lang w:val="en-GB"/>
        </w:rPr>
        <w:t xml:space="preserve"> 18:1485-1486.</w:t>
      </w:r>
      <w:proofErr w:type="gramEnd"/>
      <w:r w:rsidRPr="002F2F3C">
        <w:rPr>
          <w:sz w:val="22"/>
          <w:lang w:val="en-GB"/>
        </w:rPr>
        <w:t xml:space="preserve"> </w:t>
      </w:r>
    </w:p>
    <w:p w:rsidR="00484E20" w:rsidRPr="002F2F3C" w:rsidRDefault="00484E20" w:rsidP="00484E20">
      <w:pPr>
        <w:ind w:left="0" w:firstLine="0"/>
        <w:rPr>
          <w:sz w:val="22"/>
          <w:lang w:val="en-GB"/>
        </w:rPr>
      </w:pPr>
    </w:p>
    <w:p w:rsidR="002F7C1A" w:rsidRDefault="002F7C1A" w:rsidP="00484E20"/>
    <w:sectPr w:rsidR="002F7C1A" w:rsidSect="002F7C1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7E1CE9"/>
    <w:multiLevelType w:val="hybridMultilevel"/>
    <w:tmpl w:val="69EC071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nsid w:val="54731912"/>
    <w:multiLevelType w:val="multilevel"/>
    <w:tmpl w:val="9F3EB04A"/>
    <w:lvl w:ilvl="0">
      <w:start w:val="1"/>
      <w:numFmt w:val="decimal"/>
      <w:pStyle w:val="Heading1"/>
      <w:isLgl/>
      <w:lvlText w:val="%1."/>
      <w:lvlJc w:val="left"/>
      <w:pPr>
        <w:tabs>
          <w:tab w:val="num" w:pos="1134"/>
        </w:tabs>
        <w:ind w:left="1134" w:hanging="1134"/>
      </w:pPr>
      <w:rPr>
        <w:rFonts w:ascii="Arial" w:hAnsi="Arial" w:hint="default"/>
        <w:b/>
        <w:i w:val="0"/>
        <w:color w:val="000000"/>
        <w:sz w:val="32"/>
        <w:szCs w:val="32"/>
        <w:u w:color="000000"/>
      </w:rPr>
    </w:lvl>
    <w:lvl w:ilvl="1">
      <w:start w:val="1"/>
      <w:numFmt w:val="decimal"/>
      <w:pStyle w:val="Heading2"/>
      <w:isLgl/>
      <w:lvlText w:val="%1.%2."/>
      <w:lvlJc w:val="left"/>
      <w:pPr>
        <w:tabs>
          <w:tab w:val="num" w:pos="1134"/>
        </w:tabs>
        <w:ind w:left="1134" w:hanging="1134"/>
      </w:pPr>
      <w:rPr>
        <w:rFonts w:ascii="Arial" w:hAnsi="Arial" w:hint="default"/>
        <w:b/>
        <w:i w:val="0"/>
        <w:color w:val="000000"/>
        <w:sz w:val="28"/>
        <w:szCs w:val="28"/>
      </w:rPr>
    </w:lvl>
    <w:lvl w:ilvl="2">
      <w:start w:val="1"/>
      <w:numFmt w:val="decimal"/>
      <w:pStyle w:val="Heading3"/>
      <w:isLgl/>
      <w:lvlText w:val="%1.%2.%3."/>
      <w:lvlJc w:val="left"/>
      <w:pPr>
        <w:tabs>
          <w:tab w:val="num" w:pos="0"/>
        </w:tabs>
        <w:ind w:left="1134" w:hanging="1134"/>
      </w:pPr>
      <w:rPr>
        <w:rFonts w:ascii="Arial" w:hAnsi="Arial" w:hint="default"/>
        <w:b w:val="0"/>
        <w:i/>
        <w:color w:val="000000"/>
        <w:sz w:val="27"/>
        <w:szCs w:val="27"/>
      </w:rPr>
    </w:lvl>
    <w:lvl w:ilvl="3">
      <w:start w:val="1"/>
      <w:numFmt w:val="decimal"/>
      <w:pStyle w:val="Heading4"/>
      <w:lvlText w:val="%1.%2.%3.%4."/>
      <w:lvlJc w:val="left"/>
      <w:pPr>
        <w:tabs>
          <w:tab w:val="num" w:pos="1134"/>
        </w:tabs>
        <w:ind w:left="1134" w:hanging="1134"/>
      </w:pPr>
      <w:rPr>
        <w:rFonts w:ascii="Arial" w:hAnsi="Arial" w:hint="default"/>
        <w:b w:val="0"/>
        <w:i w:val="0"/>
        <w:color w:val="000000"/>
        <w:sz w:val="26"/>
        <w:szCs w:val="26"/>
      </w:rPr>
    </w:lvl>
    <w:lvl w:ilvl="4">
      <w:start w:val="1"/>
      <w:numFmt w:val="decimal"/>
      <w:lvlText w:val="%1.%2.%3.%4.%5."/>
      <w:lvlJc w:val="left"/>
      <w:pPr>
        <w:tabs>
          <w:tab w:val="num" w:pos="1402"/>
        </w:tabs>
        <w:ind w:left="1402" w:hanging="1402"/>
      </w:pPr>
      <w:rPr>
        <w:rFonts w:ascii="Arial" w:hAnsi="Arial" w:hint="default"/>
        <w:b/>
        <w:i w:val="0"/>
        <w:color w:val="000000"/>
        <w:sz w:val="24"/>
        <w:szCs w:val="24"/>
      </w:rPr>
    </w:lvl>
    <w:lvl w:ilvl="5">
      <w:start w:val="1"/>
      <w:numFmt w:val="decimal"/>
      <w:lvlText w:val="%1.%2.%3.%4.%5.%6."/>
      <w:lvlJc w:val="left"/>
      <w:pPr>
        <w:tabs>
          <w:tab w:val="num" w:pos="1701"/>
        </w:tabs>
        <w:ind w:left="1701" w:hanging="1701"/>
      </w:pPr>
      <w:rPr>
        <w:rFonts w:ascii="Arial" w:hAnsi="Arial" w:hint="default"/>
        <w:b w:val="0"/>
        <w:i w:val="0"/>
        <w:color w:val="000000"/>
        <w:sz w:val="24"/>
        <w:szCs w:val="24"/>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
  </w:num>
  <w:num w:numId="2">
    <w:abstractNumId w:val="1"/>
  </w:num>
  <w:num w:numId="3">
    <w:abstractNumId w:val="1"/>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484E20"/>
    <w:rsid w:val="000028F1"/>
    <w:rsid w:val="00010242"/>
    <w:rsid w:val="00046B72"/>
    <w:rsid w:val="00052A25"/>
    <w:rsid w:val="0005677D"/>
    <w:rsid w:val="000578BC"/>
    <w:rsid w:val="000848FF"/>
    <w:rsid w:val="000B48D7"/>
    <w:rsid w:val="000E5115"/>
    <w:rsid w:val="000F0175"/>
    <w:rsid w:val="000F1E62"/>
    <w:rsid w:val="001168B6"/>
    <w:rsid w:val="00134E9F"/>
    <w:rsid w:val="00141FD2"/>
    <w:rsid w:val="0016660D"/>
    <w:rsid w:val="00194CED"/>
    <w:rsid w:val="001B2C47"/>
    <w:rsid w:val="001E4D96"/>
    <w:rsid w:val="002000DA"/>
    <w:rsid w:val="00215613"/>
    <w:rsid w:val="00220DFD"/>
    <w:rsid w:val="0024005B"/>
    <w:rsid w:val="00245DB8"/>
    <w:rsid w:val="00252F0C"/>
    <w:rsid w:val="00270F6A"/>
    <w:rsid w:val="00272C75"/>
    <w:rsid w:val="00272E09"/>
    <w:rsid w:val="0027629F"/>
    <w:rsid w:val="00280D78"/>
    <w:rsid w:val="002C258B"/>
    <w:rsid w:val="002F4248"/>
    <w:rsid w:val="002F6463"/>
    <w:rsid w:val="002F7C1A"/>
    <w:rsid w:val="00315ECC"/>
    <w:rsid w:val="003229A6"/>
    <w:rsid w:val="003310F3"/>
    <w:rsid w:val="00333A3A"/>
    <w:rsid w:val="0034701D"/>
    <w:rsid w:val="0036003C"/>
    <w:rsid w:val="00363320"/>
    <w:rsid w:val="00374366"/>
    <w:rsid w:val="003A44B4"/>
    <w:rsid w:val="003B3568"/>
    <w:rsid w:val="003B73ED"/>
    <w:rsid w:val="003D1FFD"/>
    <w:rsid w:val="003E1DA2"/>
    <w:rsid w:val="003F1346"/>
    <w:rsid w:val="00412019"/>
    <w:rsid w:val="00412575"/>
    <w:rsid w:val="00420168"/>
    <w:rsid w:val="004264FD"/>
    <w:rsid w:val="00484E20"/>
    <w:rsid w:val="00491E29"/>
    <w:rsid w:val="004A37D9"/>
    <w:rsid w:val="004A5A5B"/>
    <w:rsid w:val="004C53F0"/>
    <w:rsid w:val="004D15B3"/>
    <w:rsid w:val="005100AA"/>
    <w:rsid w:val="00570157"/>
    <w:rsid w:val="0057148C"/>
    <w:rsid w:val="005724D3"/>
    <w:rsid w:val="00581469"/>
    <w:rsid w:val="00593992"/>
    <w:rsid w:val="005C6498"/>
    <w:rsid w:val="005F2E6A"/>
    <w:rsid w:val="005F4AD0"/>
    <w:rsid w:val="0062498A"/>
    <w:rsid w:val="00626A99"/>
    <w:rsid w:val="006272A7"/>
    <w:rsid w:val="00641A14"/>
    <w:rsid w:val="00653580"/>
    <w:rsid w:val="00661504"/>
    <w:rsid w:val="00690048"/>
    <w:rsid w:val="006C198E"/>
    <w:rsid w:val="006E008C"/>
    <w:rsid w:val="006E2CDF"/>
    <w:rsid w:val="006E718B"/>
    <w:rsid w:val="0071174C"/>
    <w:rsid w:val="00740C76"/>
    <w:rsid w:val="0075377D"/>
    <w:rsid w:val="007A78DF"/>
    <w:rsid w:val="007C7FD3"/>
    <w:rsid w:val="007D3253"/>
    <w:rsid w:val="007E18CB"/>
    <w:rsid w:val="007E4A87"/>
    <w:rsid w:val="008006B5"/>
    <w:rsid w:val="008016D2"/>
    <w:rsid w:val="00832051"/>
    <w:rsid w:val="00837717"/>
    <w:rsid w:val="008403F6"/>
    <w:rsid w:val="00847BE4"/>
    <w:rsid w:val="00851DE1"/>
    <w:rsid w:val="0086504E"/>
    <w:rsid w:val="00895527"/>
    <w:rsid w:val="00896966"/>
    <w:rsid w:val="008B250E"/>
    <w:rsid w:val="008D3496"/>
    <w:rsid w:val="008F2D26"/>
    <w:rsid w:val="009511C6"/>
    <w:rsid w:val="009B22FB"/>
    <w:rsid w:val="009C14CB"/>
    <w:rsid w:val="009C200B"/>
    <w:rsid w:val="009C319F"/>
    <w:rsid w:val="009C624C"/>
    <w:rsid w:val="009D1B5E"/>
    <w:rsid w:val="009F64EB"/>
    <w:rsid w:val="009F775A"/>
    <w:rsid w:val="00A45DA3"/>
    <w:rsid w:val="00A5035E"/>
    <w:rsid w:val="00A5411A"/>
    <w:rsid w:val="00A541A7"/>
    <w:rsid w:val="00A629D5"/>
    <w:rsid w:val="00A85111"/>
    <w:rsid w:val="00AA4CAD"/>
    <w:rsid w:val="00AD2F5D"/>
    <w:rsid w:val="00B15964"/>
    <w:rsid w:val="00B16204"/>
    <w:rsid w:val="00B433DC"/>
    <w:rsid w:val="00B476C3"/>
    <w:rsid w:val="00B96E52"/>
    <w:rsid w:val="00BA6E8F"/>
    <w:rsid w:val="00BB2383"/>
    <w:rsid w:val="00BE00C5"/>
    <w:rsid w:val="00C12906"/>
    <w:rsid w:val="00C1518C"/>
    <w:rsid w:val="00C236BD"/>
    <w:rsid w:val="00C244F5"/>
    <w:rsid w:val="00C264F2"/>
    <w:rsid w:val="00C47B72"/>
    <w:rsid w:val="00C7126E"/>
    <w:rsid w:val="00C75CF6"/>
    <w:rsid w:val="00C87D01"/>
    <w:rsid w:val="00C91A71"/>
    <w:rsid w:val="00CA637B"/>
    <w:rsid w:val="00CA71FE"/>
    <w:rsid w:val="00CF5DD0"/>
    <w:rsid w:val="00D05103"/>
    <w:rsid w:val="00D17D57"/>
    <w:rsid w:val="00D36E3A"/>
    <w:rsid w:val="00D5084A"/>
    <w:rsid w:val="00D513BD"/>
    <w:rsid w:val="00D541EC"/>
    <w:rsid w:val="00D6288C"/>
    <w:rsid w:val="00D83F8A"/>
    <w:rsid w:val="00D92869"/>
    <w:rsid w:val="00D95254"/>
    <w:rsid w:val="00DA0AB5"/>
    <w:rsid w:val="00DA14E3"/>
    <w:rsid w:val="00DB6D7C"/>
    <w:rsid w:val="00DD1ADE"/>
    <w:rsid w:val="00DF5A78"/>
    <w:rsid w:val="00DF6C46"/>
    <w:rsid w:val="00E147C3"/>
    <w:rsid w:val="00E17729"/>
    <w:rsid w:val="00E21063"/>
    <w:rsid w:val="00E370A8"/>
    <w:rsid w:val="00E474BF"/>
    <w:rsid w:val="00E47A87"/>
    <w:rsid w:val="00E65F1E"/>
    <w:rsid w:val="00E7082F"/>
    <w:rsid w:val="00E828CE"/>
    <w:rsid w:val="00E87373"/>
    <w:rsid w:val="00EB1F13"/>
    <w:rsid w:val="00EF27B3"/>
    <w:rsid w:val="00F03A91"/>
    <w:rsid w:val="00F14B40"/>
    <w:rsid w:val="00F16575"/>
    <w:rsid w:val="00F25542"/>
    <w:rsid w:val="00F87752"/>
    <w:rsid w:val="00F94E78"/>
    <w:rsid w:val="00FB0CFB"/>
    <w:rsid w:val="00FB6AA1"/>
    <w:rsid w:val="00FC58EE"/>
    <w:rsid w:val="00FD22F3"/>
    <w:rsid w:val="00FD59CB"/>
    <w:rsid w:val="00FE1BC6"/>
    <w:rsid w:val="00FE26F4"/>
    <w:rsid w:val="00FE575B"/>
    <w:rsid w:val="00FE79B4"/>
    <w:rsid w:val="00FF18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E20"/>
    <w:pPr>
      <w:spacing w:after="0" w:line="240" w:lineRule="auto"/>
      <w:ind w:left="720" w:hanging="720"/>
      <w:jc w:val="both"/>
    </w:pPr>
    <w:rPr>
      <w:rFonts w:ascii="Arial" w:eastAsia="Calibri" w:hAnsi="Arial" w:cs="Arial"/>
      <w:sz w:val="24"/>
      <w:lang w:val="es-CO"/>
    </w:rPr>
  </w:style>
  <w:style w:type="paragraph" w:styleId="Heading1">
    <w:name w:val="heading 1"/>
    <w:next w:val="Normal"/>
    <w:link w:val="Heading1Char"/>
    <w:qFormat/>
    <w:rsid w:val="00F14B40"/>
    <w:pPr>
      <w:keepNext/>
      <w:numPr>
        <w:numId w:val="4"/>
      </w:numPr>
      <w:spacing w:before="480" w:after="240" w:line="240" w:lineRule="auto"/>
      <w:outlineLvl w:val="0"/>
    </w:pPr>
    <w:rPr>
      <w:rFonts w:ascii="Arial" w:eastAsia="Times New Roman" w:hAnsi="Arial" w:cs="Arial"/>
      <w:b/>
      <w:bCs/>
      <w:kern w:val="32"/>
      <w:sz w:val="32"/>
      <w:szCs w:val="32"/>
      <w:lang w:val="de-AT" w:eastAsia="de-AT"/>
    </w:rPr>
  </w:style>
  <w:style w:type="paragraph" w:styleId="Heading2">
    <w:name w:val="heading 2"/>
    <w:next w:val="Normal"/>
    <w:link w:val="Heading2Char"/>
    <w:qFormat/>
    <w:rsid w:val="00F14B40"/>
    <w:pPr>
      <w:keepNext/>
      <w:numPr>
        <w:ilvl w:val="1"/>
        <w:numId w:val="4"/>
      </w:numPr>
      <w:spacing w:before="240" w:after="60" w:line="240" w:lineRule="auto"/>
      <w:outlineLvl w:val="1"/>
    </w:pPr>
    <w:rPr>
      <w:rFonts w:ascii="Arial" w:eastAsia="Times New Roman" w:hAnsi="Arial" w:cs="Arial"/>
      <w:b/>
      <w:bCs/>
      <w:iCs/>
      <w:sz w:val="28"/>
      <w:szCs w:val="28"/>
      <w:lang w:val="de-AT" w:eastAsia="de-AT"/>
    </w:rPr>
  </w:style>
  <w:style w:type="paragraph" w:styleId="Heading3">
    <w:name w:val="heading 3"/>
    <w:next w:val="Normal"/>
    <w:link w:val="Heading3Char"/>
    <w:qFormat/>
    <w:rsid w:val="00F14B40"/>
    <w:pPr>
      <w:keepNext/>
      <w:numPr>
        <w:ilvl w:val="2"/>
        <w:numId w:val="4"/>
      </w:numPr>
      <w:spacing w:before="240" w:after="60" w:line="240" w:lineRule="auto"/>
      <w:outlineLvl w:val="2"/>
    </w:pPr>
    <w:rPr>
      <w:rFonts w:ascii="Arial" w:eastAsia="Times New Roman" w:hAnsi="Arial" w:cs="Arial"/>
      <w:bCs/>
      <w:i/>
      <w:sz w:val="27"/>
      <w:szCs w:val="26"/>
      <w:lang w:val="de-AT" w:eastAsia="de-AT"/>
    </w:rPr>
  </w:style>
  <w:style w:type="paragraph" w:styleId="Heading4">
    <w:name w:val="heading 4"/>
    <w:next w:val="Normal"/>
    <w:link w:val="Heading4Char"/>
    <w:qFormat/>
    <w:rsid w:val="00F14B40"/>
    <w:pPr>
      <w:keepNext/>
      <w:numPr>
        <w:ilvl w:val="3"/>
        <w:numId w:val="4"/>
      </w:numPr>
      <w:spacing w:before="240" w:after="120" w:line="240" w:lineRule="auto"/>
      <w:outlineLvl w:val="3"/>
    </w:pPr>
    <w:rPr>
      <w:rFonts w:ascii="Arial" w:eastAsia="Times New Roman" w:hAnsi="Arial" w:cs="Times New Roman"/>
      <w:bCs/>
      <w:sz w:val="26"/>
      <w:szCs w:val="28"/>
      <w:lang w:val="de-AT" w:eastAsia="de-AT"/>
    </w:rPr>
  </w:style>
  <w:style w:type="paragraph" w:styleId="Heading5">
    <w:name w:val="heading 5"/>
    <w:basedOn w:val="Normal"/>
    <w:next w:val="Normal"/>
    <w:link w:val="Heading5Char"/>
    <w:qFormat/>
    <w:rsid w:val="00F14B40"/>
    <w:pPr>
      <w:spacing w:before="200"/>
      <w:ind w:left="1008" w:hanging="1008"/>
      <w:outlineLvl w:val="4"/>
    </w:pPr>
    <w:rPr>
      <w:rFonts w:ascii="Cambria" w:eastAsia="Times New Roman" w:hAnsi="Cambria" w:cs="Times New Roman"/>
      <w:b/>
      <w:bCs/>
      <w:color w:val="7F7F7F"/>
      <w:lang w:bidi="en-US"/>
    </w:rPr>
  </w:style>
  <w:style w:type="paragraph" w:styleId="Heading6">
    <w:name w:val="heading 6"/>
    <w:basedOn w:val="Normal"/>
    <w:next w:val="Normal"/>
    <w:link w:val="Heading6Char"/>
    <w:qFormat/>
    <w:rsid w:val="00F14B40"/>
    <w:pPr>
      <w:spacing w:line="271" w:lineRule="auto"/>
      <w:ind w:left="1152" w:hanging="1152"/>
      <w:outlineLvl w:val="5"/>
    </w:pPr>
    <w:rPr>
      <w:rFonts w:ascii="Cambria" w:eastAsia="Times New Roman" w:hAnsi="Cambria" w:cs="Times New Roman"/>
      <w:b/>
      <w:bCs/>
      <w:i/>
      <w:iCs/>
      <w:color w:val="7F7F7F"/>
      <w:lang w:bidi="en-US"/>
    </w:rPr>
  </w:style>
  <w:style w:type="paragraph" w:styleId="Heading7">
    <w:name w:val="heading 7"/>
    <w:basedOn w:val="Normal"/>
    <w:next w:val="Normal"/>
    <w:link w:val="Heading7Char"/>
    <w:qFormat/>
    <w:rsid w:val="00F14B40"/>
    <w:pPr>
      <w:ind w:left="1296" w:hanging="1296"/>
      <w:outlineLvl w:val="6"/>
    </w:pPr>
    <w:rPr>
      <w:rFonts w:ascii="Cambria" w:eastAsia="Times New Roman" w:hAnsi="Cambria" w:cs="Times New Roman"/>
      <w:i/>
      <w:iCs/>
      <w:lang w:bidi="en-US"/>
    </w:rPr>
  </w:style>
  <w:style w:type="paragraph" w:styleId="Heading8">
    <w:name w:val="heading 8"/>
    <w:basedOn w:val="Normal"/>
    <w:next w:val="Normal"/>
    <w:link w:val="Heading8Char"/>
    <w:qFormat/>
    <w:rsid w:val="00F14B40"/>
    <w:pPr>
      <w:ind w:left="1440" w:hanging="1440"/>
      <w:outlineLvl w:val="7"/>
    </w:pPr>
    <w:rPr>
      <w:rFonts w:ascii="Cambria" w:eastAsia="Times New Roman" w:hAnsi="Cambria" w:cs="Times New Roman"/>
      <w:sz w:val="20"/>
      <w:szCs w:val="20"/>
      <w:lang w:bidi="en-US"/>
    </w:rPr>
  </w:style>
  <w:style w:type="paragraph" w:styleId="Heading9">
    <w:name w:val="heading 9"/>
    <w:basedOn w:val="Normal"/>
    <w:next w:val="Normal"/>
    <w:link w:val="Heading9Char"/>
    <w:qFormat/>
    <w:rsid w:val="00F14B40"/>
    <w:pPr>
      <w:ind w:left="1584" w:hanging="1584"/>
      <w:outlineLvl w:val="8"/>
    </w:pPr>
    <w:rPr>
      <w:rFonts w:ascii="Cambria" w:eastAsia="Times New Roman" w:hAnsi="Cambria" w:cs="Times New Roman"/>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14B40"/>
    <w:rPr>
      <w:rFonts w:ascii="Arial" w:eastAsia="Times New Roman" w:hAnsi="Arial" w:cs="Arial"/>
      <w:b/>
      <w:bCs/>
      <w:kern w:val="32"/>
      <w:sz w:val="32"/>
      <w:szCs w:val="32"/>
      <w:lang w:val="de-AT" w:eastAsia="de-AT"/>
    </w:rPr>
  </w:style>
  <w:style w:type="character" w:customStyle="1" w:styleId="Heading2Char">
    <w:name w:val="Heading 2 Char"/>
    <w:basedOn w:val="DefaultParagraphFont"/>
    <w:link w:val="Heading2"/>
    <w:rsid w:val="00F14B40"/>
    <w:rPr>
      <w:rFonts w:ascii="Arial" w:eastAsia="Times New Roman" w:hAnsi="Arial" w:cs="Arial"/>
      <w:b/>
      <w:bCs/>
      <w:iCs/>
      <w:sz w:val="28"/>
      <w:szCs w:val="28"/>
      <w:lang w:val="de-AT" w:eastAsia="de-AT"/>
    </w:rPr>
  </w:style>
  <w:style w:type="character" w:customStyle="1" w:styleId="Heading3Char">
    <w:name w:val="Heading 3 Char"/>
    <w:basedOn w:val="DefaultParagraphFont"/>
    <w:link w:val="Heading3"/>
    <w:rsid w:val="00F14B40"/>
    <w:rPr>
      <w:rFonts w:ascii="Arial" w:eastAsia="Times New Roman" w:hAnsi="Arial" w:cs="Arial"/>
      <w:bCs/>
      <w:i/>
      <w:sz w:val="27"/>
      <w:szCs w:val="26"/>
      <w:lang w:val="de-AT" w:eastAsia="de-AT"/>
    </w:rPr>
  </w:style>
  <w:style w:type="character" w:customStyle="1" w:styleId="Heading4Char">
    <w:name w:val="Heading 4 Char"/>
    <w:basedOn w:val="DefaultParagraphFont"/>
    <w:link w:val="Heading4"/>
    <w:rsid w:val="00F14B40"/>
    <w:rPr>
      <w:rFonts w:ascii="Arial" w:eastAsia="Times New Roman" w:hAnsi="Arial" w:cs="Times New Roman"/>
      <w:bCs/>
      <w:sz w:val="26"/>
      <w:szCs w:val="28"/>
      <w:lang w:val="de-AT" w:eastAsia="de-AT"/>
    </w:rPr>
  </w:style>
  <w:style w:type="character" w:customStyle="1" w:styleId="Heading5Char">
    <w:name w:val="Heading 5 Char"/>
    <w:basedOn w:val="DefaultParagraphFont"/>
    <w:link w:val="Heading5"/>
    <w:rsid w:val="00F14B40"/>
    <w:rPr>
      <w:rFonts w:ascii="Cambria" w:eastAsia="Times New Roman" w:hAnsi="Cambria" w:cs="Times New Roman"/>
      <w:b/>
      <w:bCs/>
      <w:color w:val="7F7F7F"/>
      <w:lang w:bidi="en-US"/>
    </w:rPr>
  </w:style>
  <w:style w:type="character" w:customStyle="1" w:styleId="Heading6Char">
    <w:name w:val="Heading 6 Char"/>
    <w:basedOn w:val="DefaultParagraphFont"/>
    <w:link w:val="Heading6"/>
    <w:rsid w:val="00F14B40"/>
    <w:rPr>
      <w:rFonts w:ascii="Cambria" w:eastAsia="Times New Roman" w:hAnsi="Cambria" w:cs="Times New Roman"/>
      <w:b/>
      <w:bCs/>
      <w:i/>
      <w:iCs/>
      <w:color w:val="7F7F7F"/>
      <w:lang w:bidi="en-US"/>
    </w:rPr>
  </w:style>
  <w:style w:type="character" w:customStyle="1" w:styleId="Heading7Char">
    <w:name w:val="Heading 7 Char"/>
    <w:basedOn w:val="DefaultParagraphFont"/>
    <w:link w:val="Heading7"/>
    <w:rsid w:val="00F14B40"/>
    <w:rPr>
      <w:rFonts w:ascii="Cambria" w:eastAsia="Times New Roman" w:hAnsi="Cambria" w:cs="Times New Roman"/>
      <w:i/>
      <w:iCs/>
      <w:lang w:bidi="en-US"/>
    </w:rPr>
  </w:style>
  <w:style w:type="character" w:customStyle="1" w:styleId="Heading8Char">
    <w:name w:val="Heading 8 Char"/>
    <w:basedOn w:val="DefaultParagraphFont"/>
    <w:link w:val="Heading8"/>
    <w:rsid w:val="00F14B40"/>
    <w:rPr>
      <w:rFonts w:ascii="Cambria" w:eastAsia="Times New Roman" w:hAnsi="Cambria" w:cs="Times New Roman"/>
      <w:sz w:val="20"/>
      <w:szCs w:val="20"/>
      <w:lang w:bidi="en-US"/>
    </w:rPr>
  </w:style>
  <w:style w:type="character" w:customStyle="1" w:styleId="Heading9Char">
    <w:name w:val="Heading 9 Char"/>
    <w:basedOn w:val="DefaultParagraphFont"/>
    <w:link w:val="Heading9"/>
    <w:rsid w:val="00F14B40"/>
    <w:rPr>
      <w:rFonts w:ascii="Cambria" w:eastAsia="Times New Roman" w:hAnsi="Cambria" w:cs="Times New Roman"/>
      <w:i/>
      <w:iCs/>
      <w:spacing w:val="5"/>
      <w:sz w:val="20"/>
      <w:szCs w:val="20"/>
      <w:lang w:bidi="en-US"/>
    </w:rPr>
  </w:style>
  <w:style w:type="paragraph" w:styleId="ListParagraph">
    <w:name w:val="List Paragraph"/>
    <w:basedOn w:val="Normal"/>
    <w:uiPriority w:val="34"/>
    <w:qFormat/>
    <w:rsid w:val="00F14B40"/>
    <w:pPr>
      <w:contextualSpacing/>
    </w:pPr>
  </w:style>
  <w:style w:type="paragraph" w:styleId="TOCHeading">
    <w:name w:val="TOC Heading"/>
    <w:basedOn w:val="Heading1"/>
    <w:next w:val="Normal"/>
    <w:uiPriority w:val="39"/>
    <w:semiHidden/>
    <w:unhideWhenUsed/>
    <w:qFormat/>
    <w:rsid w:val="00F14B40"/>
    <w:pPr>
      <w:keepLines/>
      <w:numPr>
        <w:numId w:val="0"/>
      </w:numPr>
      <w:spacing w:after="0" w:line="276" w:lineRule="auto"/>
      <w:outlineLvl w:val="9"/>
    </w:pPr>
    <w:rPr>
      <w:rFonts w:asciiTheme="majorHAnsi" w:eastAsiaTheme="majorEastAsia" w:hAnsiTheme="majorHAnsi" w:cstheme="majorBidi"/>
      <w:color w:val="365F91" w:themeColor="accent1" w:themeShade="BF"/>
      <w:kern w:val="0"/>
      <w:sz w:val="28"/>
      <w:szCs w:val="28"/>
      <w:lang w:val="en-US" w:eastAsia="en-US"/>
    </w:rPr>
  </w:style>
  <w:style w:type="paragraph" w:styleId="NormalWeb">
    <w:name w:val="Normal (Web)"/>
    <w:basedOn w:val="Normal"/>
    <w:unhideWhenUsed/>
    <w:rsid w:val="00484E20"/>
    <w:pPr>
      <w:spacing w:before="100" w:beforeAutospacing="1" w:after="100" w:afterAutospacing="1"/>
      <w:ind w:left="0" w:firstLine="0"/>
      <w:jc w:val="left"/>
    </w:pPr>
    <w:rPr>
      <w:rFonts w:ascii="Times New Roman" w:eastAsia="Times New Roman" w:hAnsi="Times New Roman" w:cs="Times New Roman"/>
      <w:szCs w:val="24"/>
      <w:lang w:val="en-US"/>
    </w:rPr>
  </w:style>
  <w:style w:type="paragraph" w:customStyle="1" w:styleId="Char">
    <w:name w:val="Char"/>
    <w:basedOn w:val="Normal"/>
    <w:rsid w:val="00484E20"/>
    <w:pPr>
      <w:ind w:left="0" w:firstLine="0"/>
      <w:jc w:val="left"/>
    </w:pPr>
    <w:rPr>
      <w:rFonts w:ascii="Times New Roman" w:eastAsia="Times New Roman" w:hAnsi="Times New Roman" w:cs="Times New Roman"/>
      <w:szCs w:val="24"/>
      <w:lang w:val="pl-PL" w:eastAsia="pl-PL"/>
    </w:rPr>
  </w:style>
  <w:style w:type="paragraph" w:customStyle="1" w:styleId="ListParagraph1">
    <w:name w:val="List Paragraph1"/>
    <w:basedOn w:val="Normal"/>
    <w:uiPriority w:val="34"/>
    <w:qFormat/>
    <w:rsid w:val="00484E20"/>
    <w:pPr>
      <w:spacing w:after="200"/>
      <w:ind w:hanging="357"/>
      <w:contextualSpacing/>
      <w:jc w:val="left"/>
    </w:pPr>
    <w:rPr>
      <w:rFonts w:ascii="Calibri" w:hAnsi="Calibri" w:cs="Times New Roman"/>
      <w:sz w:val="22"/>
      <w:lang w:val="en-GB"/>
    </w:rPr>
  </w:style>
  <w:style w:type="paragraph" w:customStyle="1" w:styleId="Char0">
    <w:name w:val=" Char"/>
    <w:basedOn w:val="Normal"/>
    <w:rsid w:val="00484E20"/>
    <w:pPr>
      <w:ind w:left="0" w:firstLine="0"/>
      <w:jc w:val="left"/>
    </w:pPr>
    <w:rPr>
      <w:rFonts w:ascii="Times New Roman" w:eastAsia="Times New Roman" w:hAnsi="Times New Roman" w:cs="Times New Roman"/>
      <w:szCs w:val="24"/>
      <w:lang w:val="pl-PL" w:eastAsia="pl-PL"/>
    </w:rPr>
  </w:style>
  <w:style w:type="paragraph" w:styleId="BalloonText">
    <w:name w:val="Balloon Text"/>
    <w:basedOn w:val="Normal"/>
    <w:link w:val="BalloonTextChar"/>
    <w:uiPriority w:val="99"/>
    <w:semiHidden/>
    <w:unhideWhenUsed/>
    <w:rsid w:val="00484E20"/>
    <w:rPr>
      <w:rFonts w:ascii="Tahoma" w:hAnsi="Tahoma" w:cs="Tahoma"/>
      <w:sz w:val="16"/>
      <w:szCs w:val="16"/>
    </w:rPr>
  </w:style>
  <w:style w:type="character" w:customStyle="1" w:styleId="BalloonTextChar">
    <w:name w:val="Balloon Text Char"/>
    <w:basedOn w:val="DefaultParagraphFont"/>
    <w:link w:val="BalloonText"/>
    <w:uiPriority w:val="99"/>
    <w:semiHidden/>
    <w:rsid w:val="00484E20"/>
    <w:rPr>
      <w:rFonts w:ascii="Tahoma" w:eastAsia="Calibri" w:hAnsi="Tahoma" w:cs="Tahoma"/>
      <w:sz w:val="16"/>
      <w:szCs w:val="16"/>
      <w:lang w:val="es-CO"/>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autoTitleDeleted val="1"/>
    <c:view3D>
      <c:rotX val="25"/>
      <c:hPercent val="51"/>
      <c:depthPercent val="100"/>
      <c:rAngAx val="1"/>
    </c:view3D>
    <c:floor>
      <c:spPr>
        <a:solidFill>
          <a:srgbClr val="C0C0C0"/>
        </a:solidFill>
        <a:ln w="3175">
          <a:solidFill>
            <a:srgbClr val="000000"/>
          </a:solidFill>
          <a:prstDash val="solid"/>
        </a:ln>
      </c:spPr>
    </c:floor>
    <c:sideWall>
      <c:spPr>
        <a:noFill/>
        <a:ln w="25400">
          <a:noFill/>
        </a:ln>
      </c:spPr>
    </c:sideWall>
    <c:backWall>
      <c:spPr>
        <a:noFill/>
        <a:ln w="25400">
          <a:noFill/>
        </a:ln>
      </c:spPr>
    </c:backWall>
    <c:plotArea>
      <c:layout>
        <c:manualLayout>
          <c:layoutTarget val="inner"/>
          <c:xMode val="edge"/>
          <c:yMode val="edge"/>
          <c:x val="0.10420475319926874"/>
          <c:y val="3.1034482758620696E-2"/>
          <c:w val="0.87751371115173649"/>
          <c:h val="0.7931034482758621"/>
        </c:manualLayout>
      </c:layout>
      <c:bar3DChart>
        <c:barDir val="col"/>
        <c:grouping val="clustered"/>
        <c:ser>
          <c:idx val="0"/>
          <c:order val="0"/>
          <c:tx>
            <c:strRef>
              <c:f>Sheet1!$A$2</c:f>
              <c:strCache>
                <c:ptCount val="1"/>
                <c:pt idx="0">
                  <c:v>cases</c:v>
                </c:pt>
              </c:strCache>
            </c:strRef>
          </c:tx>
          <c:spPr>
            <a:solidFill>
              <a:srgbClr val="4F81BD"/>
            </a:solidFill>
            <a:ln w="12699">
              <a:solidFill>
                <a:srgbClr val="000000"/>
              </a:solidFill>
              <a:prstDash val="solid"/>
            </a:ln>
          </c:spPr>
          <c:cat>
            <c:numRef>
              <c:f>Sheet1!$B$1:$P$1</c:f>
              <c:numCache>
                <c:formatCode>General</c:formatCode>
                <c:ptCount val="7"/>
                <c:pt idx="0">
                  <c:v>2002</c:v>
                </c:pt>
                <c:pt idx="1">
                  <c:v>2003</c:v>
                </c:pt>
                <c:pt idx="2">
                  <c:v>2004</c:v>
                </c:pt>
                <c:pt idx="3">
                  <c:v>2005</c:v>
                </c:pt>
                <c:pt idx="4">
                  <c:v>2006</c:v>
                </c:pt>
                <c:pt idx="5">
                  <c:v>2007</c:v>
                </c:pt>
                <c:pt idx="6">
                  <c:v>2008</c:v>
                </c:pt>
              </c:numCache>
            </c:numRef>
          </c:cat>
          <c:val>
            <c:numRef>
              <c:f>Sheet1!$B$2:$P$2</c:f>
              <c:numCache>
                <c:formatCode>General</c:formatCode>
                <c:ptCount val="7"/>
                <c:pt idx="0">
                  <c:v>205</c:v>
                </c:pt>
                <c:pt idx="1">
                  <c:v>160</c:v>
                </c:pt>
                <c:pt idx="2">
                  <c:v>141</c:v>
                </c:pt>
                <c:pt idx="3">
                  <c:v>129</c:v>
                </c:pt>
                <c:pt idx="4">
                  <c:v>131</c:v>
                </c:pt>
                <c:pt idx="5">
                  <c:v>129</c:v>
                </c:pt>
                <c:pt idx="6">
                  <c:v>104</c:v>
                </c:pt>
              </c:numCache>
            </c:numRef>
          </c:val>
        </c:ser>
        <c:gapDepth val="0"/>
        <c:shape val="box"/>
        <c:axId val="524718464"/>
        <c:axId val="524720000"/>
        <c:axId val="0"/>
      </c:bar3DChart>
      <c:catAx>
        <c:axId val="524718464"/>
        <c:scaling>
          <c:orientation val="minMax"/>
        </c:scaling>
        <c:axPos val="b"/>
        <c:numFmt formatCode="General" sourceLinked="1"/>
        <c:tickLblPos val="low"/>
        <c:spPr>
          <a:ln w="3175">
            <a:solidFill>
              <a:srgbClr val="000000"/>
            </a:solidFill>
            <a:prstDash val="solid"/>
          </a:ln>
        </c:spPr>
        <c:txPr>
          <a:bodyPr rot="0" vert="horz"/>
          <a:lstStyle/>
          <a:p>
            <a:pPr>
              <a:defRPr sz="800" b="1" i="0" u="none" strike="noStrike" baseline="0">
                <a:solidFill>
                  <a:srgbClr val="000000"/>
                </a:solidFill>
                <a:latin typeface="Arial"/>
                <a:ea typeface="Arial"/>
                <a:cs typeface="Arial"/>
              </a:defRPr>
            </a:pPr>
            <a:endParaRPr lang="en-US"/>
          </a:p>
        </c:txPr>
        <c:crossAx val="524720000"/>
        <c:crosses val="autoZero"/>
        <c:auto val="1"/>
        <c:lblAlgn val="ctr"/>
        <c:lblOffset val="100"/>
        <c:tickLblSkip val="1"/>
        <c:tickMarkSkip val="1"/>
      </c:catAx>
      <c:valAx>
        <c:axId val="524720000"/>
        <c:scaling>
          <c:orientation val="minMax"/>
        </c:scaling>
        <c:axPos val="l"/>
        <c:numFmt formatCode="General" sourceLinked="1"/>
        <c:tickLblPos val="nextTo"/>
        <c:spPr>
          <a:ln w="3175">
            <a:solidFill>
              <a:srgbClr val="000000"/>
            </a:solidFill>
            <a:prstDash val="solid"/>
          </a:ln>
        </c:spPr>
        <c:txPr>
          <a:bodyPr rot="0" vert="horz"/>
          <a:lstStyle/>
          <a:p>
            <a:pPr>
              <a:defRPr sz="800" b="1" i="0" u="none" strike="noStrike" baseline="0">
                <a:solidFill>
                  <a:srgbClr val="000000"/>
                </a:solidFill>
                <a:latin typeface="Arial"/>
                <a:ea typeface="Arial"/>
                <a:cs typeface="Arial"/>
              </a:defRPr>
            </a:pPr>
            <a:endParaRPr lang="en-US"/>
          </a:p>
        </c:txPr>
        <c:crossAx val="524718464"/>
        <c:crosses val="autoZero"/>
        <c:crossBetween val="between"/>
      </c:valAx>
      <c:dTable>
        <c:showHorzBorder val="1"/>
        <c:showVertBorder val="1"/>
        <c:showOutline val="1"/>
        <c:showKeys val="1"/>
        <c:spPr>
          <a:ln w="3175">
            <a:solidFill>
              <a:srgbClr val="000000"/>
            </a:solidFill>
            <a:prstDash val="solid"/>
          </a:ln>
        </c:spPr>
        <c:txPr>
          <a:bodyPr/>
          <a:lstStyle/>
          <a:p>
            <a:pPr rtl="0">
              <a:defRPr sz="800" b="0" i="0" u="none" strike="noStrike" baseline="0">
                <a:solidFill>
                  <a:srgbClr val="000000"/>
                </a:solidFill>
                <a:latin typeface="Arial"/>
                <a:ea typeface="Arial"/>
                <a:cs typeface="Arial"/>
              </a:defRPr>
            </a:pPr>
            <a:endParaRPr lang="en-US"/>
          </a:p>
        </c:txPr>
      </c:dTable>
      <c:spPr>
        <a:noFill/>
        <a:ln w="25398">
          <a:noFill/>
        </a:ln>
      </c:spPr>
    </c:plotArea>
    <c:plotVisOnly val="1"/>
    <c:dispBlanksAs val="gap"/>
  </c:chart>
  <c:spPr>
    <a:noFill/>
    <a:ln>
      <a:noFill/>
    </a:ln>
  </c:spPr>
  <c:txPr>
    <a:bodyPr/>
    <a:lstStyle/>
    <a:p>
      <a:pPr>
        <a:defRPr sz="800" b="1" i="0" u="none" strike="noStrike" baseline="0">
          <a:solidFill>
            <a:srgbClr val="000000"/>
          </a:solidFill>
          <a:latin typeface="Arial"/>
          <a:ea typeface="Arial"/>
          <a:cs typeface="Arial"/>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461</Words>
  <Characters>2631</Characters>
  <Application>Microsoft Office Word</Application>
  <DocSecurity>0</DocSecurity>
  <Lines>21</Lines>
  <Paragraphs>6</Paragraphs>
  <ScaleCrop>false</ScaleCrop>
  <Company/>
  <LinksUpToDate>false</LinksUpToDate>
  <CharactersWithSpaces>3086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2012-04-01T20:36:00Z</dcterms:created>
  <dcterms:modified xsi:type="dcterms:W3CDTF">2012-04-01T20:46:00Z</dcterms:modified>
</cp:coreProperties>
</file>