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06" w:rsidRPr="00E659B4" w:rsidRDefault="00385206" w:rsidP="00385206">
      <w:pPr>
        <w:spacing w:line="480" w:lineRule="auto"/>
        <w:rPr>
          <w:b/>
          <w:sz w:val="22"/>
          <w:u w:val="single"/>
          <w:lang w:val="en-US"/>
        </w:rPr>
      </w:pPr>
      <w:smartTag w:uri="urn:schemas-microsoft-com:office:smarttags" w:element="place">
        <w:smartTag w:uri="urn:schemas-microsoft-com:office:smarttags" w:element="country-region">
          <w:r w:rsidRPr="00E659B4">
            <w:rPr>
              <w:b/>
              <w:sz w:val="22"/>
              <w:u w:val="single"/>
              <w:lang w:val="en-US"/>
            </w:rPr>
            <w:t>ECUADOR</w:t>
          </w:r>
        </w:smartTag>
      </w:smartTag>
    </w:p>
    <w:p w:rsidR="00385206" w:rsidRPr="00A20449" w:rsidRDefault="00385206" w:rsidP="00385206">
      <w:pPr>
        <w:spacing w:line="480" w:lineRule="auto"/>
        <w:rPr>
          <w:b/>
          <w:sz w:val="22"/>
          <w:lang w:val="en-US"/>
        </w:rPr>
      </w:pPr>
      <w:r>
        <w:rPr>
          <w:b/>
          <w:noProof/>
          <w:sz w:val="22"/>
          <w:lang w:val="en-US"/>
        </w:rPr>
        <w:drawing>
          <wp:inline distT="0" distB="0" distL="0" distR="0">
            <wp:extent cx="2545080" cy="1704975"/>
            <wp:effectExtent l="19050" t="0" r="7620" b="0"/>
            <wp:docPr id="2" name="Picture 37" descr="EC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CWORLD"/>
                    <pic:cNvPicPr>
                      <a:picLocks noChangeAspect="1" noChangeArrowheads="1"/>
                    </pic:cNvPicPr>
                  </pic:nvPicPr>
                  <pic:blipFill>
                    <a:blip r:embed="rId5" cstate="print"/>
                    <a:srcRect/>
                    <a:stretch>
                      <a:fillRect/>
                    </a:stretch>
                  </pic:blipFill>
                  <pic:spPr bwMode="auto">
                    <a:xfrm>
                      <a:off x="0" y="0"/>
                      <a:ext cx="2545080" cy="1704975"/>
                    </a:xfrm>
                    <a:prstGeom prst="rect">
                      <a:avLst/>
                    </a:prstGeom>
                    <a:noFill/>
                    <a:ln w="9525">
                      <a:noFill/>
                      <a:miter lim="800000"/>
                      <a:headEnd/>
                      <a:tailEnd/>
                    </a:ln>
                  </pic:spPr>
                </pic:pic>
              </a:graphicData>
            </a:graphic>
          </wp:inline>
        </w:drawing>
      </w:r>
    </w:p>
    <w:p w:rsidR="00385206" w:rsidRPr="00A20449" w:rsidRDefault="00385206" w:rsidP="00385206">
      <w:pPr>
        <w:spacing w:line="480" w:lineRule="auto"/>
        <w:rPr>
          <w:b/>
          <w:sz w:val="22"/>
          <w:lang w:val="en-US"/>
        </w:rPr>
      </w:pPr>
      <w:r w:rsidRPr="00A20449">
        <w:rPr>
          <w:b/>
          <w:sz w:val="22"/>
          <w:lang w:val="en-US"/>
        </w:rPr>
        <w:t>BASIC COUNTRY DATA</w:t>
      </w:r>
    </w:p>
    <w:p w:rsidR="00385206" w:rsidRPr="00A20449" w:rsidRDefault="00385206" w:rsidP="00385206">
      <w:pPr>
        <w:rPr>
          <w:sz w:val="22"/>
          <w:lang w:val="en-US"/>
        </w:rPr>
      </w:pPr>
      <w:r w:rsidRPr="00A20449">
        <w:rPr>
          <w:sz w:val="22"/>
          <w:lang w:val="en-US"/>
        </w:rPr>
        <w:t>Total Population: 1</w:t>
      </w:r>
      <w:r>
        <w:rPr>
          <w:sz w:val="22"/>
          <w:lang w:val="en-US"/>
        </w:rPr>
        <w:t>4,464,739</w:t>
      </w:r>
      <w:r w:rsidRPr="00A20449">
        <w:rPr>
          <w:sz w:val="22"/>
          <w:lang w:val="en-US"/>
        </w:rPr>
        <w:t xml:space="preserve"> </w:t>
      </w:r>
    </w:p>
    <w:p w:rsidR="00385206" w:rsidRPr="00A20449" w:rsidRDefault="00385206" w:rsidP="00385206">
      <w:pPr>
        <w:rPr>
          <w:sz w:val="22"/>
          <w:lang w:val="en-US"/>
        </w:rPr>
      </w:pPr>
      <w:r w:rsidRPr="00A20449">
        <w:rPr>
          <w:sz w:val="22"/>
          <w:lang w:val="en-US"/>
        </w:rPr>
        <w:t>Population 0-14 years: 3</w:t>
      </w:r>
      <w:r>
        <w:rPr>
          <w:sz w:val="22"/>
          <w:lang w:val="en-US"/>
        </w:rPr>
        <w:t>0</w:t>
      </w:r>
      <w:r w:rsidRPr="00A20449">
        <w:rPr>
          <w:sz w:val="22"/>
          <w:lang w:val="en-US"/>
        </w:rPr>
        <w:t xml:space="preserve">% </w:t>
      </w:r>
    </w:p>
    <w:p w:rsidR="00385206" w:rsidRPr="00A20449" w:rsidRDefault="00385206" w:rsidP="00385206">
      <w:pPr>
        <w:rPr>
          <w:sz w:val="22"/>
          <w:lang w:val="en-US"/>
        </w:rPr>
      </w:pPr>
      <w:r w:rsidRPr="00A20449">
        <w:rPr>
          <w:sz w:val="22"/>
          <w:lang w:val="en-US"/>
        </w:rPr>
        <w:t>Rural population: 3</w:t>
      </w:r>
      <w:r>
        <w:rPr>
          <w:sz w:val="22"/>
          <w:lang w:val="en-US"/>
        </w:rPr>
        <w:t>3</w:t>
      </w:r>
      <w:r w:rsidRPr="00A20449">
        <w:rPr>
          <w:sz w:val="22"/>
          <w:lang w:val="en-US"/>
        </w:rPr>
        <w:t xml:space="preserve">% </w:t>
      </w:r>
    </w:p>
    <w:p w:rsidR="00385206" w:rsidRPr="00A20449" w:rsidRDefault="00385206" w:rsidP="00385206">
      <w:pPr>
        <w:rPr>
          <w:sz w:val="22"/>
          <w:lang w:val="en-US"/>
        </w:rPr>
      </w:pPr>
      <w:r w:rsidRPr="00A20449">
        <w:rPr>
          <w:sz w:val="22"/>
          <w:lang w:val="en-US"/>
        </w:rPr>
        <w:t>Population living under USD 1</w:t>
      </w:r>
      <w:r>
        <w:rPr>
          <w:sz w:val="22"/>
          <w:lang w:val="en-US"/>
        </w:rPr>
        <w:t>.</w:t>
      </w:r>
      <w:r w:rsidRPr="00A20449">
        <w:rPr>
          <w:sz w:val="22"/>
          <w:lang w:val="en-US"/>
        </w:rPr>
        <w:t xml:space="preserve">25 a day: </w:t>
      </w:r>
      <w:r>
        <w:rPr>
          <w:sz w:val="22"/>
          <w:lang w:val="en-US"/>
        </w:rPr>
        <w:t>5.1</w:t>
      </w:r>
      <w:r w:rsidRPr="00A20449">
        <w:rPr>
          <w:sz w:val="22"/>
          <w:lang w:val="en-US"/>
        </w:rPr>
        <w:t xml:space="preserve">% </w:t>
      </w:r>
    </w:p>
    <w:p w:rsidR="00385206" w:rsidRPr="00A20449" w:rsidRDefault="00385206" w:rsidP="00385206">
      <w:pPr>
        <w:rPr>
          <w:sz w:val="22"/>
          <w:lang w:val="en-US"/>
        </w:rPr>
      </w:pPr>
      <w:r w:rsidRPr="00A20449">
        <w:rPr>
          <w:sz w:val="22"/>
          <w:lang w:val="en-US"/>
        </w:rPr>
        <w:t>Population living under the national poverty line: 3</w:t>
      </w:r>
      <w:r>
        <w:rPr>
          <w:sz w:val="22"/>
          <w:lang w:val="en-US"/>
        </w:rPr>
        <w:t>6.0</w:t>
      </w:r>
      <w:r w:rsidRPr="00A20449">
        <w:rPr>
          <w:sz w:val="22"/>
          <w:lang w:val="en-US"/>
        </w:rPr>
        <w:t>%</w:t>
      </w:r>
    </w:p>
    <w:p w:rsidR="00385206" w:rsidRPr="00A20449" w:rsidRDefault="00385206" w:rsidP="00385206">
      <w:pPr>
        <w:rPr>
          <w:sz w:val="22"/>
          <w:lang w:val="en-US"/>
        </w:rPr>
      </w:pPr>
      <w:r w:rsidRPr="00A20449">
        <w:rPr>
          <w:sz w:val="22"/>
          <w:lang w:val="en-US"/>
        </w:rPr>
        <w:t xml:space="preserve">Income status: </w:t>
      </w:r>
      <w:r>
        <w:rPr>
          <w:sz w:val="22"/>
          <w:lang w:val="en-US"/>
        </w:rPr>
        <w:t>Upper</w:t>
      </w:r>
      <w:r w:rsidRPr="00A20449">
        <w:rPr>
          <w:sz w:val="22"/>
          <w:lang w:val="en-US"/>
        </w:rPr>
        <w:t xml:space="preserve"> middle income economy </w:t>
      </w:r>
    </w:p>
    <w:p w:rsidR="00385206" w:rsidRPr="00A20449" w:rsidRDefault="00385206" w:rsidP="00385206">
      <w:pPr>
        <w:rPr>
          <w:sz w:val="22"/>
          <w:lang w:val="en-US"/>
        </w:rPr>
      </w:pPr>
      <w:r w:rsidRPr="00A20449">
        <w:rPr>
          <w:sz w:val="22"/>
          <w:lang w:val="en-US"/>
        </w:rPr>
        <w:t>Ranking:</w:t>
      </w:r>
      <w:r w:rsidRPr="00A20449">
        <w:rPr>
          <w:i/>
          <w:iCs/>
          <w:color w:val="003399"/>
          <w:sz w:val="22"/>
          <w:lang w:val="en-US" w:eastAsia="es-CO"/>
        </w:rPr>
        <w:t xml:space="preserve"> </w:t>
      </w:r>
      <w:r w:rsidRPr="00A20449">
        <w:rPr>
          <w:bCs/>
          <w:sz w:val="22"/>
          <w:lang w:val="en-US"/>
        </w:rPr>
        <w:t xml:space="preserve">High </w:t>
      </w:r>
      <w:r>
        <w:rPr>
          <w:bCs/>
          <w:sz w:val="22"/>
          <w:lang w:val="en-US"/>
        </w:rPr>
        <w:t>h</w:t>
      </w:r>
      <w:r w:rsidRPr="00A20449">
        <w:rPr>
          <w:bCs/>
          <w:sz w:val="22"/>
          <w:lang w:val="en-US"/>
        </w:rPr>
        <w:t xml:space="preserve">uman </w:t>
      </w:r>
      <w:r>
        <w:rPr>
          <w:bCs/>
          <w:sz w:val="22"/>
          <w:lang w:val="en-US"/>
        </w:rPr>
        <w:t>d</w:t>
      </w:r>
      <w:r w:rsidRPr="00A20449">
        <w:rPr>
          <w:bCs/>
          <w:sz w:val="22"/>
          <w:lang w:val="en-US"/>
        </w:rPr>
        <w:t>evelopment (ranking 8</w:t>
      </w:r>
      <w:r>
        <w:rPr>
          <w:bCs/>
          <w:sz w:val="22"/>
          <w:lang w:val="en-US"/>
        </w:rPr>
        <w:t>3</w:t>
      </w:r>
      <w:r w:rsidRPr="00A20449">
        <w:rPr>
          <w:bCs/>
          <w:sz w:val="22"/>
          <w:lang w:val="en-US"/>
        </w:rPr>
        <w:t>)</w:t>
      </w:r>
    </w:p>
    <w:p w:rsidR="00385206" w:rsidRPr="00A20449" w:rsidRDefault="00385206" w:rsidP="00385206">
      <w:pPr>
        <w:rPr>
          <w:sz w:val="22"/>
          <w:lang w:val="en-US"/>
        </w:rPr>
      </w:pPr>
      <w:r w:rsidRPr="00A20449">
        <w:rPr>
          <w:sz w:val="22"/>
          <w:lang w:val="en-US"/>
        </w:rPr>
        <w:t>Per capita total expenditure on health at average exchange rate (US dollar):</w:t>
      </w:r>
      <w:r>
        <w:rPr>
          <w:sz w:val="22"/>
          <w:lang w:val="en-US"/>
        </w:rPr>
        <w:t xml:space="preserve"> 255</w:t>
      </w:r>
    </w:p>
    <w:p w:rsidR="00385206" w:rsidRPr="00A20449" w:rsidRDefault="00385206" w:rsidP="00385206">
      <w:pPr>
        <w:rPr>
          <w:sz w:val="22"/>
          <w:lang w:val="en-US"/>
        </w:rPr>
      </w:pPr>
      <w:r w:rsidRPr="00A20449">
        <w:rPr>
          <w:sz w:val="22"/>
          <w:lang w:val="en-US"/>
        </w:rPr>
        <w:t>Life expectancy at birth (years): 7</w:t>
      </w:r>
      <w:r>
        <w:rPr>
          <w:sz w:val="22"/>
          <w:lang w:val="en-US"/>
        </w:rPr>
        <w:t>5</w:t>
      </w:r>
    </w:p>
    <w:p w:rsidR="00385206" w:rsidRPr="00A20449" w:rsidRDefault="00385206" w:rsidP="00385206">
      <w:pPr>
        <w:rPr>
          <w:sz w:val="22"/>
          <w:lang w:val="en-US"/>
        </w:rPr>
      </w:pPr>
      <w:r w:rsidRPr="00A20449">
        <w:rPr>
          <w:sz w:val="22"/>
          <w:lang w:val="en-US"/>
        </w:rPr>
        <w:t>Health</w:t>
      </w:r>
      <w:r>
        <w:rPr>
          <w:sz w:val="22"/>
          <w:lang w:val="en-US"/>
        </w:rPr>
        <w:t>y</w:t>
      </w:r>
      <w:r w:rsidRPr="00A20449">
        <w:rPr>
          <w:sz w:val="22"/>
          <w:lang w:val="en-US"/>
        </w:rPr>
        <w:t xml:space="preserve"> life expectancy at birth (years): 62 </w:t>
      </w:r>
    </w:p>
    <w:p w:rsidR="00385206" w:rsidRPr="00A20449" w:rsidRDefault="00385206" w:rsidP="00385206">
      <w:pPr>
        <w:spacing w:line="480" w:lineRule="auto"/>
        <w:rPr>
          <w:b/>
          <w:sz w:val="22"/>
          <w:lang w:val="en-US"/>
        </w:rPr>
      </w:pPr>
    </w:p>
    <w:p w:rsidR="00385206" w:rsidRPr="00A20449" w:rsidRDefault="00385206" w:rsidP="00385206">
      <w:pPr>
        <w:spacing w:line="480" w:lineRule="auto"/>
        <w:rPr>
          <w:sz w:val="22"/>
          <w:lang w:val="en-GB"/>
        </w:rPr>
      </w:pPr>
      <w:r w:rsidRPr="00A20449">
        <w:rPr>
          <w:b/>
          <w:sz w:val="22"/>
          <w:lang w:val="en-US"/>
        </w:rPr>
        <w:t xml:space="preserve">BACKGROUND INFORMATION </w:t>
      </w:r>
    </w:p>
    <w:p w:rsidR="00385206" w:rsidRPr="00A20449" w:rsidRDefault="00385206" w:rsidP="00385206">
      <w:pPr>
        <w:ind w:left="0" w:firstLine="0"/>
        <w:rPr>
          <w:sz w:val="22"/>
          <w:lang w:val="en-US"/>
        </w:rPr>
      </w:pPr>
      <w:r w:rsidRPr="00A20449">
        <w:rPr>
          <w:sz w:val="22"/>
          <w:lang w:val="en-US"/>
        </w:rPr>
        <w:t xml:space="preserve">CL is a public health problem in </w:t>
      </w:r>
      <w:smartTag w:uri="urn:schemas-microsoft-com:office:smarttags" w:element="country-region">
        <w:smartTag w:uri="urn:schemas-microsoft-com:office:smarttags" w:element="place">
          <w:r w:rsidRPr="00A20449">
            <w:rPr>
              <w:sz w:val="22"/>
              <w:lang w:val="en-US"/>
            </w:rPr>
            <w:t>Ecuador</w:t>
          </w:r>
        </w:smartTag>
      </w:smartTag>
      <w:r w:rsidRPr="00A20449">
        <w:rPr>
          <w:sz w:val="22"/>
          <w:lang w:val="en-US"/>
        </w:rPr>
        <w:t xml:space="preserve"> because of its wide distribution, mainly in rural areas in the regions of Costa, Sierra and </w:t>
      </w:r>
      <w:proofErr w:type="spellStart"/>
      <w:r w:rsidRPr="00A20449">
        <w:rPr>
          <w:sz w:val="22"/>
          <w:lang w:val="en-US"/>
        </w:rPr>
        <w:t>Oriente</w:t>
      </w:r>
      <w:proofErr w:type="spellEnd"/>
      <w:r>
        <w:rPr>
          <w:sz w:val="22"/>
          <w:lang w:val="en-US"/>
        </w:rPr>
        <w:t xml:space="preserve"> [1]</w:t>
      </w:r>
      <w:r w:rsidRPr="00A20449">
        <w:rPr>
          <w:sz w:val="22"/>
          <w:lang w:val="en-US"/>
        </w:rPr>
        <w:t>. It is present in 23 out of the 24 provinces. MCL and DCL have been reported. No cases of VL have been found yet.</w:t>
      </w:r>
    </w:p>
    <w:p w:rsidR="00385206" w:rsidRPr="00A20449" w:rsidRDefault="00385206" w:rsidP="00385206">
      <w:pPr>
        <w:ind w:left="0" w:firstLine="0"/>
        <w:rPr>
          <w:sz w:val="22"/>
          <w:lang w:val="en-US"/>
        </w:rPr>
      </w:pPr>
    </w:p>
    <w:p w:rsidR="00385206" w:rsidRPr="00A20449" w:rsidRDefault="00385206" w:rsidP="00385206">
      <w:pPr>
        <w:ind w:left="0" w:firstLine="0"/>
        <w:rPr>
          <w:sz w:val="22"/>
          <w:lang w:val="en-US"/>
        </w:rPr>
      </w:pPr>
      <w:r w:rsidRPr="00A20449">
        <w:rPr>
          <w:sz w:val="22"/>
          <w:lang w:val="en-US"/>
        </w:rPr>
        <w:t xml:space="preserve">According to the Ministry of Health’s register, during the period of 1990 to 2006, incidence levels ranged from 4.36 to 20.79 per 100,000 inhabitants, and the disease followed an endemic-epidemic pattern. </w:t>
      </w:r>
    </w:p>
    <w:p w:rsidR="00385206" w:rsidRPr="00A20449" w:rsidRDefault="00385206" w:rsidP="00385206">
      <w:pPr>
        <w:ind w:left="0" w:firstLine="0"/>
        <w:rPr>
          <w:sz w:val="22"/>
          <w:lang w:val="en-US"/>
        </w:rPr>
      </w:pPr>
    </w:p>
    <w:p w:rsidR="00385206" w:rsidRPr="00A20449" w:rsidRDefault="00385206" w:rsidP="00385206">
      <w:pPr>
        <w:ind w:left="0" w:firstLine="0"/>
        <w:rPr>
          <w:sz w:val="22"/>
          <w:lang w:val="en-US"/>
        </w:rPr>
      </w:pPr>
      <w:r w:rsidRPr="00A20449">
        <w:rPr>
          <w:sz w:val="22"/>
          <w:lang w:val="en-US"/>
        </w:rPr>
        <w:t>The highest number of cases and the highest rates of infection are in the Amazon region, followed by the Andean region (eastern and western slopes of the Andean cordillera, which have a subtropical climate) and the Costa region</w:t>
      </w:r>
      <w:r>
        <w:rPr>
          <w:sz w:val="22"/>
          <w:lang w:val="en-US"/>
        </w:rPr>
        <w:t xml:space="preserve"> [2]</w:t>
      </w:r>
      <w:r w:rsidRPr="00A20449">
        <w:rPr>
          <w:sz w:val="22"/>
          <w:lang w:val="en-US"/>
        </w:rPr>
        <w:t xml:space="preserve">. An </w:t>
      </w:r>
      <w:r w:rsidRPr="00EF6EC8">
        <w:rPr>
          <w:sz w:val="22"/>
          <w:lang w:val="en-US"/>
        </w:rPr>
        <w:t>estimated 3,500,000</w:t>
      </w:r>
      <w:r w:rsidRPr="00A20449">
        <w:rPr>
          <w:sz w:val="22"/>
          <w:lang w:val="en-US"/>
        </w:rPr>
        <w:t xml:space="preserve"> inhabitants live in regions </w:t>
      </w:r>
      <w:r>
        <w:rPr>
          <w:sz w:val="22"/>
          <w:lang w:val="en-US"/>
        </w:rPr>
        <w:t>with</w:t>
      </w:r>
      <w:r w:rsidRPr="00A20449">
        <w:rPr>
          <w:sz w:val="22"/>
          <w:lang w:val="en-US"/>
        </w:rPr>
        <w:t xml:space="preserve"> a </w:t>
      </w:r>
      <w:r>
        <w:rPr>
          <w:sz w:val="22"/>
          <w:lang w:val="en-US"/>
        </w:rPr>
        <w:t xml:space="preserve">disease transmission </w:t>
      </w:r>
      <w:r w:rsidRPr="00A20449">
        <w:rPr>
          <w:sz w:val="22"/>
          <w:lang w:val="en-US"/>
        </w:rPr>
        <w:t>risk</w:t>
      </w:r>
      <w:r>
        <w:rPr>
          <w:sz w:val="22"/>
          <w:lang w:val="en-US"/>
        </w:rPr>
        <w:t xml:space="preserve"> [3]</w:t>
      </w:r>
      <w:r w:rsidRPr="00A20449">
        <w:rPr>
          <w:sz w:val="22"/>
          <w:lang w:val="en-US"/>
        </w:rPr>
        <w:t xml:space="preserve">. </w:t>
      </w:r>
    </w:p>
    <w:p w:rsidR="00385206" w:rsidRPr="00A20449" w:rsidRDefault="00385206" w:rsidP="00385206">
      <w:pPr>
        <w:ind w:left="0" w:firstLine="0"/>
        <w:rPr>
          <w:sz w:val="22"/>
          <w:lang w:val="en-US"/>
        </w:rPr>
      </w:pPr>
    </w:p>
    <w:p w:rsidR="00385206" w:rsidRPr="00A20449" w:rsidRDefault="00385206" w:rsidP="00385206">
      <w:pPr>
        <w:ind w:left="0" w:firstLine="0"/>
        <w:rPr>
          <w:sz w:val="22"/>
          <w:lang w:val="en-US"/>
        </w:rPr>
      </w:pPr>
      <w:r w:rsidRPr="00A20449">
        <w:rPr>
          <w:sz w:val="22"/>
          <w:lang w:val="en-US"/>
        </w:rPr>
        <w:t>Case registration is passive and relies on persons infected with the disease seeking treatment in facilities operated by the Ministry of Health (hospitals, health cente</w:t>
      </w:r>
      <w:r>
        <w:rPr>
          <w:sz w:val="22"/>
          <w:lang w:val="en-US"/>
        </w:rPr>
        <w:t>r</w:t>
      </w:r>
      <w:r w:rsidRPr="00A20449">
        <w:rPr>
          <w:sz w:val="22"/>
          <w:lang w:val="en-US"/>
        </w:rPr>
        <w:t>s and satellite health cente</w:t>
      </w:r>
      <w:r>
        <w:rPr>
          <w:sz w:val="22"/>
          <w:lang w:val="en-US"/>
        </w:rPr>
        <w:t>r</w:t>
      </w:r>
      <w:r w:rsidRPr="00A20449">
        <w:rPr>
          <w:sz w:val="22"/>
          <w:lang w:val="en-US"/>
        </w:rPr>
        <w:t>s). This means that the disease is underreported, since it essentially occurs in rural areas and affects a population many of which lack access to health services, especially in the Amazon region</w:t>
      </w:r>
      <w:r>
        <w:rPr>
          <w:sz w:val="22"/>
          <w:lang w:val="en-US"/>
        </w:rPr>
        <w:t xml:space="preserve"> [4]</w:t>
      </w:r>
      <w:r w:rsidRPr="00A20449">
        <w:rPr>
          <w:sz w:val="22"/>
          <w:lang w:val="en-US"/>
        </w:rPr>
        <w:t>.</w:t>
      </w:r>
      <w:r>
        <w:rPr>
          <w:sz w:val="22"/>
          <w:lang w:val="en-US"/>
        </w:rPr>
        <w:t xml:space="preserve"> Contrary to what is happening in the Peruvian Andes, </w:t>
      </w:r>
      <w:r w:rsidRPr="00C56FE1">
        <w:rPr>
          <w:i/>
          <w:iCs/>
          <w:sz w:val="22"/>
          <w:lang w:val="en-US"/>
        </w:rPr>
        <w:t>L.</w:t>
      </w:r>
      <w:r>
        <w:rPr>
          <w:i/>
          <w:iCs/>
          <w:sz w:val="22"/>
          <w:lang w:val="en-US"/>
        </w:rPr>
        <w:t xml:space="preserve"> </w:t>
      </w:r>
      <w:r w:rsidRPr="00C56FE1">
        <w:rPr>
          <w:i/>
          <w:iCs/>
          <w:sz w:val="22"/>
          <w:lang w:val="en-US"/>
        </w:rPr>
        <w:t>peruviana</w:t>
      </w:r>
      <w:r>
        <w:rPr>
          <w:sz w:val="22"/>
          <w:lang w:val="en-US"/>
        </w:rPr>
        <w:t xml:space="preserve"> has not been found in the Andean valleys of Ecuador [5]</w:t>
      </w:r>
      <w:r w:rsidRPr="00A20449">
        <w:rPr>
          <w:sz w:val="22"/>
          <w:lang w:val="en-US"/>
        </w:rPr>
        <w:t>.</w:t>
      </w:r>
    </w:p>
    <w:p w:rsidR="00385206" w:rsidRPr="00A20449" w:rsidRDefault="00385206" w:rsidP="00385206">
      <w:pPr>
        <w:rPr>
          <w:sz w:val="22"/>
          <w:lang w:val="en-US"/>
        </w:rPr>
      </w:pPr>
    </w:p>
    <w:p w:rsidR="00385206" w:rsidRDefault="00385206" w:rsidP="00385206">
      <w:pPr>
        <w:rPr>
          <w:b/>
          <w:bCs/>
          <w:sz w:val="22"/>
        </w:rPr>
      </w:pPr>
    </w:p>
    <w:p w:rsidR="00385206" w:rsidRPr="00A20449" w:rsidRDefault="00385206" w:rsidP="00385206">
      <w:pPr>
        <w:rPr>
          <w:b/>
          <w:bCs/>
          <w:sz w:val="22"/>
        </w:rPr>
      </w:pPr>
      <w:r w:rsidRPr="00A20449">
        <w:rPr>
          <w:b/>
          <w:bCs/>
          <w:sz w:val="22"/>
        </w:rPr>
        <w:lastRenderedPageBreak/>
        <w:t>PARASITOLOGICAL INFORMATION</w:t>
      </w:r>
    </w:p>
    <w:p w:rsidR="00385206" w:rsidRPr="00416718" w:rsidRDefault="00385206" w:rsidP="00385206"/>
    <w:tbl>
      <w:tblPr>
        <w:tblpPr w:leftFromText="180" w:rightFromText="180" w:vertAnchor="text" w:horzAnchor="margin" w:tblpX="-345" w:tblpY="109"/>
        <w:tblW w:w="9392" w:type="dxa"/>
        <w:tblCellSpacing w:w="0" w:type="dxa"/>
        <w:tblCellMar>
          <w:left w:w="0" w:type="dxa"/>
          <w:right w:w="0" w:type="dxa"/>
        </w:tblCellMar>
        <w:tblLook w:val="0000"/>
      </w:tblPr>
      <w:tblGrid>
        <w:gridCol w:w="1732"/>
        <w:gridCol w:w="1307"/>
        <w:gridCol w:w="2556"/>
        <w:gridCol w:w="3797"/>
      </w:tblGrid>
      <w:tr w:rsidR="00385206" w:rsidRPr="00416718" w:rsidTr="00A7768B">
        <w:trPr>
          <w:trHeight w:val="254"/>
          <w:tblCellSpacing w:w="0" w:type="dxa"/>
        </w:trPr>
        <w:tc>
          <w:tcPr>
            <w:tcW w:w="1732" w:type="dxa"/>
            <w:tcBorders>
              <w:top w:val="single" w:sz="6" w:space="0" w:color="000000"/>
              <w:left w:val="single" w:sz="6" w:space="0" w:color="000000"/>
              <w:bottom w:val="single" w:sz="6" w:space="0" w:color="000000"/>
              <w:right w:val="single" w:sz="6" w:space="0" w:color="000000"/>
            </w:tcBorders>
            <w:vAlign w:val="center"/>
          </w:tcPr>
          <w:p w:rsidR="00385206" w:rsidRPr="00416718" w:rsidRDefault="00385206" w:rsidP="00A7768B">
            <w:pPr>
              <w:ind w:left="180" w:right="82" w:firstLine="0"/>
              <w:jc w:val="center"/>
              <w:rPr>
                <w:b/>
                <w:bCs/>
                <w:i/>
                <w:iCs/>
              </w:rPr>
            </w:pPr>
            <w:r w:rsidRPr="00416718">
              <w:rPr>
                <w:b/>
                <w:bCs/>
                <w:i/>
                <w:iCs/>
              </w:rPr>
              <w:t xml:space="preserve">Leishmania </w:t>
            </w:r>
          </w:p>
          <w:p w:rsidR="00385206" w:rsidRPr="00416718" w:rsidRDefault="00385206" w:rsidP="00A7768B">
            <w:pPr>
              <w:ind w:left="180" w:right="82" w:hanging="180"/>
              <w:jc w:val="center"/>
            </w:pPr>
            <w:proofErr w:type="spellStart"/>
            <w:r w:rsidRPr="00416718">
              <w:rPr>
                <w:b/>
                <w:bCs/>
              </w:rPr>
              <w:t>species</w:t>
            </w:r>
            <w:proofErr w:type="spellEnd"/>
          </w:p>
        </w:tc>
        <w:tc>
          <w:tcPr>
            <w:tcW w:w="1307" w:type="dxa"/>
            <w:tcBorders>
              <w:top w:val="single" w:sz="6" w:space="0" w:color="000000"/>
              <w:left w:val="single" w:sz="6" w:space="0" w:color="000000"/>
              <w:bottom w:val="single" w:sz="6" w:space="0" w:color="000000"/>
              <w:right w:val="single" w:sz="6" w:space="0" w:color="000000"/>
            </w:tcBorders>
            <w:vAlign w:val="center"/>
          </w:tcPr>
          <w:p w:rsidR="00385206" w:rsidRPr="00416718" w:rsidRDefault="00385206" w:rsidP="00A7768B">
            <w:pPr>
              <w:tabs>
                <w:tab w:val="left" w:pos="247"/>
              </w:tabs>
              <w:ind w:left="0" w:hanging="248"/>
              <w:jc w:val="center"/>
              <w:rPr>
                <w:b/>
                <w:bCs/>
              </w:rPr>
            </w:pPr>
            <w:proofErr w:type="spellStart"/>
            <w:r w:rsidRPr="00416718">
              <w:rPr>
                <w:b/>
                <w:bCs/>
              </w:rPr>
              <w:t>Clinical</w:t>
            </w:r>
            <w:proofErr w:type="spellEnd"/>
            <w:r w:rsidRPr="00416718">
              <w:rPr>
                <w:b/>
                <w:bCs/>
              </w:rPr>
              <w:t xml:space="preserve"> </w:t>
            </w:r>
          </w:p>
          <w:p w:rsidR="00385206" w:rsidRPr="00416718" w:rsidRDefault="00385206" w:rsidP="00A7768B">
            <w:pPr>
              <w:tabs>
                <w:tab w:val="left" w:pos="247"/>
              </w:tabs>
              <w:ind w:left="0" w:hanging="248"/>
              <w:jc w:val="center"/>
            </w:pPr>
            <w:proofErr w:type="spellStart"/>
            <w:r w:rsidRPr="00416718">
              <w:rPr>
                <w:b/>
                <w:bCs/>
              </w:rPr>
              <w:t>form</w:t>
            </w:r>
            <w:proofErr w:type="spellEnd"/>
          </w:p>
        </w:tc>
        <w:tc>
          <w:tcPr>
            <w:tcW w:w="2556" w:type="dxa"/>
            <w:tcBorders>
              <w:top w:val="single" w:sz="6" w:space="0" w:color="000000"/>
              <w:left w:val="single" w:sz="6" w:space="0" w:color="000000"/>
              <w:bottom w:val="single" w:sz="6" w:space="0" w:color="000000"/>
              <w:right w:val="single" w:sz="6" w:space="0" w:color="000000"/>
            </w:tcBorders>
            <w:vAlign w:val="center"/>
          </w:tcPr>
          <w:p w:rsidR="00385206" w:rsidRPr="00416718" w:rsidRDefault="00385206" w:rsidP="00A7768B">
            <w:pPr>
              <w:jc w:val="center"/>
            </w:pPr>
            <w:r w:rsidRPr="00416718">
              <w:rPr>
                <w:b/>
                <w:bCs/>
              </w:rPr>
              <w:t xml:space="preserve">Vector </w:t>
            </w:r>
            <w:proofErr w:type="spellStart"/>
            <w:r w:rsidRPr="00416718">
              <w:rPr>
                <w:b/>
                <w:bCs/>
              </w:rPr>
              <w:t>species</w:t>
            </w:r>
            <w:proofErr w:type="spellEnd"/>
          </w:p>
        </w:tc>
        <w:tc>
          <w:tcPr>
            <w:tcW w:w="3797" w:type="dxa"/>
            <w:tcBorders>
              <w:top w:val="single" w:sz="6" w:space="0" w:color="000000"/>
              <w:left w:val="single" w:sz="6" w:space="0" w:color="000000"/>
              <w:bottom w:val="single" w:sz="6" w:space="0" w:color="000000"/>
              <w:right w:val="single" w:sz="6" w:space="0" w:color="000000"/>
            </w:tcBorders>
            <w:vAlign w:val="center"/>
          </w:tcPr>
          <w:p w:rsidR="00385206" w:rsidRPr="00416718" w:rsidRDefault="00385206" w:rsidP="00A7768B">
            <w:pPr>
              <w:jc w:val="center"/>
            </w:pPr>
            <w:proofErr w:type="spellStart"/>
            <w:r w:rsidRPr="00416718">
              <w:rPr>
                <w:b/>
                <w:bCs/>
              </w:rPr>
              <w:t>Reservoirs</w:t>
            </w:r>
            <w:proofErr w:type="spellEnd"/>
          </w:p>
        </w:tc>
      </w:tr>
      <w:tr w:rsidR="00385206" w:rsidRPr="00416718" w:rsidTr="00A7768B">
        <w:trPr>
          <w:trHeight w:val="397"/>
          <w:tblCellSpacing w:w="0" w:type="dxa"/>
        </w:trPr>
        <w:tc>
          <w:tcPr>
            <w:tcW w:w="1732"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i/>
                <w:iCs/>
                <w:sz w:val="22"/>
                <w:lang w:val="en-US"/>
              </w:rPr>
              <w:t xml:space="preserve"> </w:t>
            </w:r>
            <w:r w:rsidRPr="00F55C64">
              <w:rPr>
                <w:i/>
                <w:iCs/>
                <w:sz w:val="22"/>
                <w:lang w:val="en-US"/>
              </w:rPr>
              <w:t>L. braziliensis</w:t>
            </w:r>
          </w:p>
        </w:tc>
        <w:tc>
          <w:tcPr>
            <w:tcW w:w="1307"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sz w:val="22"/>
                <w:lang w:val="en-US"/>
              </w:rPr>
              <w:t xml:space="preserve"> </w:t>
            </w:r>
            <w:r w:rsidRPr="00F55C64">
              <w:rPr>
                <w:sz w:val="22"/>
                <w:lang w:val="en-US"/>
              </w:rPr>
              <w:t>ZCL, MCL</w:t>
            </w:r>
          </w:p>
        </w:tc>
        <w:tc>
          <w:tcPr>
            <w:tcW w:w="2556"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sz w:val="22"/>
                <w:lang w:val="fr-FR"/>
              </w:rPr>
              <w:t xml:space="preserve">  </w:t>
            </w:r>
            <w:proofErr w:type="spellStart"/>
            <w:r w:rsidRPr="00F55C64">
              <w:rPr>
                <w:sz w:val="22"/>
                <w:lang w:val="fr-FR"/>
              </w:rPr>
              <w:t>Unknown</w:t>
            </w:r>
            <w:proofErr w:type="spellEnd"/>
          </w:p>
        </w:tc>
        <w:tc>
          <w:tcPr>
            <w:tcW w:w="3797"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sz w:val="22"/>
                <w:lang w:val="fr-FR"/>
              </w:rPr>
              <w:t xml:space="preserve">  </w:t>
            </w:r>
            <w:proofErr w:type="spellStart"/>
            <w:r w:rsidRPr="00F55C64">
              <w:rPr>
                <w:sz w:val="22"/>
                <w:lang w:val="fr-FR"/>
              </w:rPr>
              <w:t>Unknown</w:t>
            </w:r>
            <w:proofErr w:type="spellEnd"/>
          </w:p>
        </w:tc>
      </w:tr>
      <w:tr w:rsidR="00385206" w:rsidRPr="00416718" w:rsidTr="00A7768B">
        <w:trPr>
          <w:trHeight w:val="826"/>
          <w:tblCellSpacing w:w="0" w:type="dxa"/>
        </w:trPr>
        <w:tc>
          <w:tcPr>
            <w:tcW w:w="1732"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i/>
                <w:iCs/>
                <w:sz w:val="22"/>
                <w:lang w:val="en-US"/>
              </w:rPr>
              <w:t xml:space="preserve"> </w:t>
            </w:r>
            <w:r w:rsidRPr="00F55C64">
              <w:rPr>
                <w:i/>
                <w:iCs/>
                <w:sz w:val="22"/>
                <w:lang w:val="en-US"/>
              </w:rPr>
              <w:t>L. panamensis</w:t>
            </w:r>
          </w:p>
        </w:tc>
        <w:tc>
          <w:tcPr>
            <w:tcW w:w="1307"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sz w:val="22"/>
                <w:lang w:val="en-US"/>
              </w:rPr>
              <w:t xml:space="preserve"> </w:t>
            </w:r>
            <w:r w:rsidRPr="00F55C64">
              <w:rPr>
                <w:sz w:val="22"/>
                <w:lang w:val="en-US"/>
              </w:rPr>
              <w:t>ZCL</w:t>
            </w:r>
          </w:p>
        </w:tc>
        <w:tc>
          <w:tcPr>
            <w:tcW w:w="2556" w:type="dxa"/>
            <w:tcBorders>
              <w:top w:val="single" w:sz="6" w:space="0" w:color="000000"/>
              <w:left w:val="single" w:sz="6" w:space="0" w:color="000000"/>
              <w:bottom w:val="single" w:sz="6" w:space="0" w:color="000000"/>
              <w:right w:val="single" w:sz="6" w:space="0" w:color="000000"/>
            </w:tcBorders>
            <w:vAlign w:val="center"/>
          </w:tcPr>
          <w:p w:rsidR="00385206" w:rsidRDefault="00385206" w:rsidP="00A7768B">
            <w:pPr>
              <w:jc w:val="left"/>
              <w:rPr>
                <w:i/>
                <w:sz w:val="22"/>
                <w:lang w:val="en-US"/>
              </w:rPr>
            </w:pPr>
            <w:r>
              <w:rPr>
                <w:i/>
                <w:sz w:val="22"/>
                <w:lang w:val="en-US"/>
              </w:rPr>
              <w:t xml:space="preserve">  </w:t>
            </w:r>
            <w:r w:rsidRPr="00F55C64">
              <w:rPr>
                <w:i/>
                <w:sz w:val="22"/>
                <w:lang w:val="en-US"/>
              </w:rPr>
              <w:t xml:space="preserve">Lu. </w:t>
            </w:r>
            <w:proofErr w:type="spellStart"/>
            <w:r w:rsidRPr="00F55C64">
              <w:rPr>
                <w:i/>
                <w:sz w:val="22"/>
                <w:lang w:val="en-US"/>
              </w:rPr>
              <w:t>trapidoi</w:t>
            </w:r>
            <w:proofErr w:type="spellEnd"/>
            <w:r w:rsidRPr="00F55C64">
              <w:rPr>
                <w:i/>
                <w:sz w:val="22"/>
                <w:lang w:val="en-US"/>
              </w:rPr>
              <w:t xml:space="preserve">, </w:t>
            </w:r>
          </w:p>
          <w:p w:rsidR="00385206" w:rsidRDefault="00385206" w:rsidP="00A7768B">
            <w:pPr>
              <w:jc w:val="left"/>
              <w:rPr>
                <w:i/>
                <w:sz w:val="22"/>
                <w:lang w:val="en-US"/>
              </w:rPr>
            </w:pPr>
            <w:r>
              <w:rPr>
                <w:i/>
                <w:sz w:val="22"/>
                <w:lang w:val="en-US"/>
              </w:rPr>
              <w:t xml:space="preserve">  </w:t>
            </w:r>
            <w:r w:rsidRPr="00F55C64">
              <w:rPr>
                <w:i/>
                <w:sz w:val="22"/>
                <w:lang w:val="en-US"/>
              </w:rPr>
              <w:t xml:space="preserve">Lu. </w:t>
            </w:r>
            <w:proofErr w:type="spellStart"/>
            <w:r w:rsidRPr="00F55C64">
              <w:rPr>
                <w:i/>
                <w:sz w:val="22"/>
                <w:lang w:val="en-US"/>
              </w:rPr>
              <w:t>hartmanni</w:t>
            </w:r>
            <w:proofErr w:type="spellEnd"/>
            <w:r w:rsidRPr="00F55C64">
              <w:rPr>
                <w:i/>
                <w:sz w:val="22"/>
                <w:lang w:val="en-US"/>
              </w:rPr>
              <w:t>,</w:t>
            </w:r>
          </w:p>
          <w:p w:rsidR="00385206" w:rsidRPr="00F55C64" w:rsidRDefault="00385206" w:rsidP="00A7768B">
            <w:pPr>
              <w:jc w:val="left"/>
              <w:rPr>
                <w:i/>
                <w:sz w:val="22"/>
                <w:lang w:val="en-US"/>
              </w:rPr>
            </w:pPr>
            <w:r w:rsidRPr="00F55C64">
              <w:rPr>
                <w:i/>
                <w:sz w:val="22"/>
                <w:lang w:val="en-US"/>
              </w:rPr>
              <w:t xml:space="preserve"> </w:t>
            </w:r>
            <w:r>
              <w:rPr>
                <w:i/>
                <w:sz w:val="22"/>
                <w:lang w:val="en-US"/>
              </w:rPr>
              <w:t xml:space="preserve"> </w:t>
            </w:r>
            <w:r w:rsidRPr="00F55C64">
              <w:rPr>
                <w:i/>
                <w:sz w:val="22"/>
                <w:lang w:val="en-US"/>
              </w:rPr>
              <w:t xml:space="preserve">Lu. </w:t>
            </w:r>
            <w:proofErr w:type="spellStart"/>
            <w:r w:rsidRPr="00F55C64">
              <w:rPr>
                <w:i/>
                <w:sz w:val="22"/>
                <w:lang w:val="en-US"/>
              </w:rPr>
              <w:t>gomezi</w:t>
            </w:r>
            <w:proofErr w:type="spellEnd"/>
          </w:p>
        </w:tc>
        <w:tc>
          <w:tcPr>
            <w:tcW w:w="3797"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ind w:left="131" w:firstLine="34"/>
              <w:jc w:val="left"/>
              <w:rPr>
                <w:sz w:val="22"/>
                <w:lang w:val="en-US"/>
              </w:rPr>
            </w:pPr>
            <w:proofErr w:type="spellStart"/>
            <w:r w:rsidRPr="00F55C64">
              <w:rPr>
                <w:i/>
                <w:iCs/>
                <w:sz w:val="22"/>
                <w:lang w:val="en-US"/>
              </w:rPr>
              <w:t>Potus</w:t>
            </w:r>
            <w:proofErr w:type="spellEnd"/>
            <w:r w:rsidRPr="00F55C64">
              <w:rPr>
                <w:i/>
                <w:iCs/>
                <w:color w:val="FF0000"/>
                <w:sz w:val="22"/>
                <w:lang w:val="en-US"/>
              </w:rPr>
              <w:t xml:space="preserve"> </w:t>
            </w:r>
            <w:proofErr w:type="spellStart"/>
            <w:r w:rsidRPr="00F55C64">
              <w:rPr>
                <w:i/>
                <w:iCs/>
                <w:color w:val="000000"/>
                <w:sz w:val="22"/>
                <w:lang w:val="en-US"/>
              </w:rPr>
              <w:t>flavus</w:t>
            </w:r>
            <w:proofErr w:type="spellEnd"/>
            <w:r w:rsidRPr="00F55C64">
              <w:rPr>
                <w:i/>
                <w:iCs/>
                <w:color w:val="000000"/>
                <w:sz w:val="22"/>
                <w:lang w:val="en-US"/>
              </w:rPr>
              <w:t xml:space="preserve">, </w:t>
            </w:r>
            <w:proofErr w:type="spellStart"/>
            <w:r w:rsidRPr="00F55C64">
              <w:rPr>
                <w:i/>
                <w:iCs/>
                <w:sz w:val="22"/>
                <w:lang w:val="en-US"/>
              </w:rPr>
              <w:t>Tamandua</w:t>
            </w:r>
            <w:proofErr w:type="spellEnd"/>
            <w:r w:rsidRPr="00F55C64">
              <w:rPr>
                <w:i/>
                <w:iCs/>
                <w:sz w:val="22"/>
                <w:lang w:val="en-US"/>
              </w:rPr>
              <w:t xml:space="preserve"> </w:t>
            </w:r>
            <w:proofErr w:type="spellStart"/>
            <w:r w:rsidRPr="00F55C64">
              <w:rPr>
                <w:i/>
                <w:iCs/>
                <w:sz w:val="22"/>
                <w:lang w:val="en-US"/>
              </w:rPr>
              <w:t>tetradactyla</w:t>
            </w:r>
            <w:proofErr w:type="spellEnd"/>
            <w:r w:rsidRPr="00F55C64">
              <w:rPr>
                <w:i/>
                <w:iCs/>
                <w:sz w:val="22"/>
                <w:lang w:val="en-US"/>
              </w:rPr>
              <w:t xml:space="preserve">, </w:t>
            </w:r>
            <w:proofErr w:type="spellStart"/>
            <w:r w:rsidRPr="00F55C64">
              <w:rPr>
                <w:i/>
                <w:iCs/>
                <w:sz w:val="22"/>
                <w:lang w:val="en-US"/>
              </w:rPr>
              <w:t>Sciurus</w:t>
            </w:r>
            <w:proofErr w:type="spellEnd"/>
            <w:r w:rsidRPr="00F55C64">
              <w:rPr>
                <w:i/>
                <w:iCs/>
                <w:sz w:val="22"/>
                <w:lang w:val="en-US"/>
              </w:rPr>
              <w:t xml:space="preserve"> </w:t>
            </w:r>
            <w:proofErr w:type="spellStart"/>
            <w:r w:rsidRPr="00F55C64">
              <w:rPr>
                <w:i/>
                <w:iCs/>
                <w:sz w:val="22"/>
                <w:lang w:val="en-US"/>
              </w:rPr>
              <w:t>vulgaris</w:t>
            </w:r>
            <w:proofErr w:type="spellEnd"/>
            <w:r w:rsidRPr="00F55C64">
              <w:rPr>
                <w:i/>
                <w:iCs/>
                <w:sz w:val="22"/>
                <w:lang w:val="en-US"/>
              </w:rPr>
              <w:t xml:space="preserve">, </w:t>
            </w:r>
            <w:proofErr w:type="spellStart"/>
            <w:r w:rsidRPr="00F55C64">
              <w:rPr>
                <w:i/>
                <w:iCs/>
                <w:sz w:val="22"/>
                <w:lang w:val="en-US"/>
              </w:rPr>
              <w:t>Choloepus</w:t>
            </w:r>
            <w:proofErr w:type="spellEnd"/>
            <w:r w:rsidRPr="00F55C64">
              <w:rPr>
                <w:i/>
                <w:iCs/>
                <w:sz w:val="22"/>
                <w:lang w:val="en-US"/>
              </w:rPr>
              <w:t xml:space="preserve"> </w:t>
            </w:r>
            <w:proofErr w:type="spellStart"/>
            <w:r w:rsidRPr="00F55C64">
              <w:rPr>
                <w:i/>
                <w:iCs/>
                <w:sz w:val="22"/>
                <w:lang w:val="en-US"/>
              </w:rPr>
              <w:t>didactylus</w:t>
            </w:r>
            <w:proofErr w:type="spellEnd"/>
            <w:r w:rsidRPr="00F55C64">
              <w:rPr>
                <w:sz w:val="22"/>
                <w:lang w:val="en-US"/>
              </w:rPr>
              <w:t xml:space="preserve"> </w:t>
            </w:r>
          </w:p>
        </w:tc>
      </w:tr>
      <w:tr w:rsidR="00385206" w:rsidRPr="00416718" w:rsidTr="00A7768B">
        <w:trPr>
          <w:trHeight w:val="397"/>
          <w:tblCellSpacing w:w="0" w:type="dxa"/>
        </w:trPr>
        <w:tc>
          <w:tcPr>
            <w:tcW w:w="1732"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i/>
                <w:iCs/>
                <w:sz w:val="22"/>
                <w:lang w:val="en-US"/>
              </w:rPr>
              <w:t xml:space="preserve"> </w:t>
            </w:r>
            <w:r w:rsidRPr="00F55C64">
              <w:rPr>
                <w:i/>
                <w:iCs/>
                <w:sz w:val="22"/>
                <w:lang w:val="en-US"/>
              </w:rPr>
              <w:t>L. guyanensis</w:t>
            </w:r>
          </w:p>
        </w:tc>
        <w:tc>
          <w:tcPr>
            <w:tcW w:w="1307"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sz w:val="22"/>
                <w:lang w:val="en-US"/>
              </w:rPr>
              <w:t xml:space="preserve"> </w:t>
            </w:r>
            <w:r w:rsidRPr="00F55C64">
              <w:rPr>
                <w:sz w:val="22"/>
                <w:lang w:val="en-US"/>
              </w:rPr>
              <w:t>ZCL</w:t>
            </w:r>
          </w:p>
        </w:tc>
        <w:tc>
          <w:tcPr>
            <w:tcW w:w="2556"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sz w:val="22"/>
                <w:lang w:val="fr-FR"/>
              </w:rPr>
              <w:t xml:space="preserve">  </w:t>
            </w:r>
            <w:proofErr w:type="spellStart"/>
            <w:r w:rsidRPr="00F55C64">
              <w:rPr>
                <w:sz w:val="22"/>
                <w:lang w:val="fr-FR"/>
              </w:rPr>
              <w:t>Unknown</w:t>
            </w:r>
            <w:proofErr w:type="spellEnd"/>
          </w:p>
        </w:tc>
        <w:tc>
          <w:tcPr>
            <w:tcW w:w="3797"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sz w:val="22"/>
                <w:lang w:val="fr-FR"/>
              </w:rPr>
              <w:t xml:space="preserve">  </w:t>
            </w:r>
            <w:proofErr w:type="spellStart"/>
            <w:r w:rsidRPr="00F55C64">
              <w:rPr>
                <w:sz w:val="22"/>
                <w:lang w:val="fr-FR"/>
              </w:rPr>
              <w:t>Unknown</w:t>
            </w:r>
            <w:proofErr w:type="spellEnd"/>
          </w:p>
        </w:tc>
      </w:tr>
      <w:tr w:rsidR="00385206" w:rsidRPr="00416718" w:rsidTr="00A7768B">
        <w:trPr>
          <w:trHeight w:val="397"/>
          <w:tblCellSpacing w:w="0" w:type="dxa"/>
        </w:trPr>
        <w:tc>
          <w:tcPr>
            <w:tcW w:w="1732"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i/>
                <w:iCs/>
                <w:sz w:val="22"/>
                <w:lang w:val="en-US"/>
              </w:rPr>
              <w:t xml:space="preserve"> </w:t>
            </w:r>
            <w:r w:rsidRPr="00F55C64">
              <w:rPr>
                <w:i/>
                <w:iCs/>
                <w:sz w:val="22"/>
                <w:lang w:val="en-US"/>
              </w:rPr>
              <w:t>L. amazonensis</w:t>
            </w:r>
          </w:p>
        </w:tc>
        <w:tc>
          <w:tcPr>
            <w:tcW w:w="1307"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sz w:val="22"/>
                <w:lang w:val="en-US"/>
              </w:rPr>
              <w:t xml:space="preserve"> </w:t>
            </w:r>
            <w:r w:rsidRPr="00F55C64">
              <w:rPr>
                <w:sz w:val="22"/>
                <w:lang w:val="en-US"/>
              </w:rPr>
              <w:t>ZCL, DCL</w:t>
            </w:r>
          </w:p>
        </w:tc>
        <w:tc>
          <w:tcPr>
            <w:tcW w:w="2556"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rPr>
            </w:pPr>
            <w:r>
              <w:rPr>
                <w:i/>
                <w:iCs/>
                <w:sz w:val="22"/>
                <w:lang w:val="en-US"/>
              </w:rPr>
              <w:t xml:space="preserve">  </w:t>
            </w:r>
            <w:r w:rsidRPr="00F55C64">
              <w:rPr>
                <w:i/>
                <w:iCs/>
                <w:sz w:val="22"/>
                <w:lang w:val="en-US"/>
              </w:rPr>
              <w:t xml:space="preserve">Lu. </w:t>
            </w:r>
            <w:proofErr w:type="spellStart"/>
            <w:r w:rsidRPr="00F55C64">
              <w:rPr>
                <w:i/>
                <w:iCs/>
                <w:sz w:val="22"/>
                <w:lang w:val="en-US"/>
              </w:rPr>
              <w:t>flaviscutellata</w:t>
            </w:r>
            <w:proofErr w:type="spellEnd"/>
          </w:p>
        </w:tc>
        <w:tc>
          <w:tcPr>
            <w:tcW w:w="3797"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rPr>
            </w:pPr>
            <w:r w:rsidRPr="00F55C64">
              <w:rPr>
                <w:sz w:val="22"/>
              </w:rPr>
              <w:t> </w:t>
            </w:r>
          </w:p>
        </w:tc>
      </w:tr>
      <w:tr w:rsidR="00385206" w:rsidRPr="00416718" w:rsidTr="00A7768B">
        <w:trPr>
          <w:trHeight w:val="397"/>
          <w:tblCellSpacing w:w="0" w:type="dxa"/>
        </w:trPr>
        <w:tc>
          <w:tcPr>
            <w:tcW w:w="1732"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i/>
                <w:iCs/>
                <w:sz w:val="22"/>
                <w:lang w:val="en-US"/>
              </w:rPr>
              <w:t xml:space="preserve"> </w:t>
            </w:r>
            <w:r w:rsidRPr="00F55C64">
              <w:rPr>
                <w:i/>
                <w:iCs/>
                <w:sz w:val="22"/>
                <w:lang w:val="en-US"/>
              </w:rPr>
              <w:t>L. mexicana</w:t>
            </w:r>
          </w:p>
        </w:tc>
        <w:tc>
          <w:tcPr>
            <w:tcW w:w="1307"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sz w:val="22"/>
                <w:lang w:val="en-US"/>
              </w:rPr>
              <w:t xml:space="preserve"> </w:t>
            </w:r>
            <w:r w:rsidRPr="00F55C64">
              <w:rPr>
                <w:sz w:val="22"/>
                <w:lang w:val="en-US"/>
              </w:rPr>
              <w:t>ZCL, DCL</w:t>
            </w:r>
          </w:p>
        </w:tc>
        <w:tc>
          <w:tcPr>
            <w:tcW w:w="2556"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i/>
                <w:iCs/>
                <w:sz w:val="22"/>
                <w:lang w:val="en-US"/>
              </w:rPr>
              <w:t xml:space="preserve">  </w:t>
            </w:r>
            <w:r w:rsidRPr="00F55C64">
              <w:rPr>
                <w:i/>
                <w:iCs/>
                <w:sz w:val="22"/>
                <w:lang w:val="en-US"/>
              </w:rPr>
              <w:t xml:space="preserve">Lu. </w:t>
            </w:r>
            <w:proofErr w:type="spellStart"/>
            <w:r w:rsidRPr="00F55C64">
              <w:rPr>
                <w:i/>
                <w:iCs/>
                <w:sz w:val="22"/>
                <w:lang w:val="en-US"/>
              </w:rPr>
              <w:t>ayacuchensis</w:t>
            </w:r>
            <w:proofErr w:type="spellEnd"/>
          </w:p>
        </w:tc>
        <w:tc>
          <w:tcPr>
            <w:tcW w:w="3797" w:type="dxa"/>
            <w:tcBorders>
              <w:top w:val="single" w:sz="6" w:space="0" w:color="000000"/>
              <w:left w:val="single" w:sz="6" w:space="0" w:color="000000"/>
              <w:bottom w:val="single" w:sz="6" w:space="0" w:color="000000"/>
              <w:right w:val="single" w:sz="6" w:space="0" w:color="000000"/>
            </w:tcBorders>
            <w:vAlign w:val="center"/>
          </w:tcPr>
          <w:p w:rsidR="00385206" w:rsidRPr="00F55C64" w:rsidRDefault="00385206" w:rsidP="00A7768B">
            <w:pPr>
              <w:jc w:val="left"/>
              <w:rPr>
                <w:sz w:val="22"/>
                <w:lang w:val="en-US"/>
              </w:rPr>
            </w:pPr>
            <w:r>
              <w:rPr>
                <w:sz w:val="22"/>
                <w:lang w:val="fr-FR"/>
              </w:rPr>
              <w:t xml:space="preserve">  </w:t>
            </w:r>
            <w:proofErr w:type="spellStart"/>
            <w:r w:rsidRPr="00F55C64">
              <w:rPr>
                <w:sz w:val="22"/>
                <w:lang w:val="fr-FR"/>
              </w:rPr>
              <w:t>Unknown</w:t>
            </w:r>
            <w:proofErr w:type="spellEnd"/>
          </w:p>
        </w:tc>
      </w:tr>
    </w:tbl>
    <w:p w:rsidR="00385206" w:rsidRPr="00416718" w:rsidRDefault="00385206" w:rsidP="00385206">
      <w:pPr>
        <w:jc w:val="left"/>
      </w:pPr>
    </w:p>
    <w:p w:rsidR="00385206" w:rsidRPr="00416718" w:rsidRDefault="00385206" w:rsidP="00385206"/>
    <w:p w:rsidR="00385206" w:rsidRDefault="00385206" w:rsidP="00385206">
      <w:pPr>
        <w:rPr>
          <w:b/>
          <w:bCs/>
          <w:sz w:val="22"/>
        </w:rPr>
      </w:pPr>
      <w:r w:rsidRPr="00A20449">
        <w:rPr>
          <w:b/>
          <w:bCs/>
          <w:sz w:val="22"/>
        </w:rPr>
        <w:t>MAPS AND TRENDS</w:t>
      </w:r>
    </w:p>
    <w:p w:rsidR="00385206" w:rsidRDefault="00385206" w:rsidP="00385206">
      <w:pPr>
        <w:rPr>
          <w:b/>
          <w:bCs/>
          <w:sz w:val="22"/>
        </w:rPr>
      </w:pPr>
    </w:p>
    <w:p w:rsidR="00385206" w:rsidRPr="00A20449" w:rsidRDefault="00385206" w:rsidP="00385206">
      <w:pPr>
        <w:rPr>
          <w:b/>
          <w:bCs/>
          <w:sz w:val="22"/>
        </w:rPr>
      </w:pPr>
      <w:r>
        <w:rPr>
          <w:b/>
          <w:bCs/>
          <w:sz w:val="22"/>
        </w:rPr>
        <w:t>Cutaneous leishmaniasis</w:t>
      </w:r>
    </w:p>
    <w:p w:rsidR="00385206" w:rsidRPr="00416718" w:rsidRDefault="00385206" w:rsidP="00385206">
      <w:pPr>
        <w:rPr>
          <w:b/>
          <w:bCs/>
        </w:rPr>
      </w:pPr>
    </w:p>
    <w:p w:rsidR="00385206" w:rsidRPr="00416718" w:rsidRDefault="00385206" w:rsidP="00385206">
      <w:r>
        <w:rPr>
          <w:noProof/>
          <w:lang w:val="en-US"/>
        </w:rPr>
        <w:drawing>
          <wp:anchor distT="0" distB="0" distL="114300" distR="114300" simplePos="0" relativeHeight="251661312" behindDoc="0" locked="0" layoutInCell="1" allowOverlap="1">
            <wp:simplePos x="0" y="0"/>
            <wp:positionH relativeFrom="column">
              <wp:posOffset>-316230</wp:posOffset>
            </wp:positionH>
            <wp:positionV relativeFrom="paragraph">
              <wp:posOffset>107950</wp:posOffset>
            </wp:positionV>
            <wp:extent cx="2950845" cy="2479040"/>
            <wp:effectExtent l="19050" t="0" r="1905" b="0"/>
            <wp:wrapNone/>
            <wp:docPr id="4" name="Picture 4" descr="ECCL2008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L2008mod2"/>
                    <pic:cNvPicPr>
                      <a:picLocks noChangeAspect="1" noChangeArrowheads="1"/>
                    </pic:cNvPicPr>
                  </pic:nvPicPr>
                  <pic:blipFill>
                    <a:blip r:embed="rId6" cstate="print"/>
                    <a:srcRect/>
                    <a:stretch>
                      <a:fillRect/>
                    </a:stretch>
                  </pic:blipFill>
                  <pic:spPr bwMode="auto">
                    <a:xfrm>
                      <a:off x="0" y="0"/>
                      <a:ext cx="2950845" cy="2479040"/>
                    </a:xfrm>
                    <a:prstGeom prst="rect">
                      <a:avLst/>
                    </a:prstGeom>
                    <a:noFill/>
                  </pic:spPr>
                </pic:pic>
              </a:graphicData>
            </a:graphic>
          </wp:anchor>
        </w:drawing>
      </w:r>
    </w:p>
    <w:p w:rsidR="00385206" w:rsidRPr="00416718" w:rsidRDefault="00385206" w:rsidP="00385206">
      <w:r>
        <w:rPr>
          <w:noProof/>
          <w:lang w:val="en-US"/>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3810</wp:posOffset>
            </wp:positionV>
            <wp:extent cx="2857500" cy="2400300"/>
            <wp:effectExtent l="19050" t="0" r="0" b="0"/>
            <wp:wrapNone/>
            <wp:docPr id="5" name="Picture 5" descr="ECCLIR2008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CLIR2008mod"/>
                    <pic:cNvPicPr>
                      <a:picLocks noChangeAspect="1" noChangeArrowheads="1"/>
                    </pic:cNvPicPr>
                  </pic:nvPicPr>
                  <pic:blipFill>
                    <a:blip r:embed="rId7" cstate="print"/>
                    <a:srcRect/>
                    <a:stretch>
                      <a:fillRect/>
                    </a:stretch>
                  </pic:blipFill>
                  <pic:spPr bwMode="auto">
                    <a:xfrm>
                      <a:off x="0" y="0"/>
                      <a:ext cx="2857500" cy="2400300"/>
                    </a:xfrm>
                    <a:prstGeom prst="rect">
                      <a:avLst/>
                    </a:prstGeom>
                    <a:noFill/>
                  </pic:spPr>
                </pic:pic>
              </a:graphicData>
            </a:graphic>
          </wp:anchor>
        </w:drawing>
      </w:r>
    </w:p>
    <w:p w:rsidR="00385206" w:rsidRPr="00416718" w:rsidRDefault="00385206" w:rsidP="00385206"/>
    <w:p w:rsidR="00385206" w:rsidRPr="00416718" w:rsidRDefault="00385206" w:rsidP="00385206"/>
    <w:p w:rsidR="00385206" w:rsidRPr="00416718" w:rsidRDefault="00385206" w:rsidP="00385206"/>
    <w:p w:rsidR="00385206" w:rsidRPr="00416718" w:rsidRDefault="00385206" w:rsidP="00385206"/>
    <w:p w:rsidR="00385206" w:rsidRPr="00416718" w:rsidRDefault="00385206" w:rsidP="00385206"/>
    <w:p w:rsidR="00385206" w:rsidRPr="00416718" w:rsidRDefault="00385206" w:rsidP="00385206"/>
    <w:p w:rsidR="00385206" w:rsidRPr="00416718" w:rsidRDefault="00385206" w:rsidP="00385206"/>
    <w:p w:rsidR="00385206" w:rsidRPr="00416718" w:rsidRDefault="00385206" w:rsidP="00385206"/>
    <w:p w:rsidR="00385206" w:rsidRPr="00416718" w:rsidRDefault="00385206" w:rsidP="00385206"/>
    <w:p w:rsidR="00385206" w:rsidRPr="00416718" w:rsidRDefault="00385206" w:rsidP="00385206"/>
    <w:p w:rsidR="00385206" w:rsidRPr="00416718" w:rsidRDefault="00385206" w:rsidP="00385206"/>
    <w:p w:rsidR="00385206" w:rsidRPr="00416718" w:rsidRDefault="00385206" w:rsidP="00385206"/>
    <w:p w:rsidR="00385206" w:rsidRPr="00416718" w:rsidRDefault="00385206" w:rsidP="00385206"/>
    <w:p w:rsidR="00385206" w:rsidRPr="00416718" w:rsidRDefault="00385206" w:rsidP="00385206"/>
    <w:p w:rsidR="00385206" w:rsidRPr="00A20449" w:rsidRDefault="00385206" w:rsidP="00385206">
      <w:pPr>
        <w:rPr>
          <w:b/>
          <w:bCs/>
          <w:sz w:val="22"/>
        </w:rPr>
      </w:pPr>
      <w:r>
        <w:rPr>
          <w:noProof/>
          <w:sz w:val="22"/>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5370830" cy="2910840"/>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A20449">
        <w:rPr>
          <w:b/>
          <w:bCs/>
          <w:sz w:val="22"/>
        </w:rPr>
        <w:t xml:space="preserve">Cutaneous leishmaniasis </w:t>
      </w:r>
      <w:proofErr w:type="spellStart"/>
      <w:r w:rsidRPr="00A20449">
        <w:rPr>
          <w:b/>
          <w:bCs/>
          <w:sz w:val="22"/>
        </w:rPr>
        <w:t>trend</w:t>
      </w:r>
      <w:proofErr w:type="spellEnd"/>
    </w:p>
    <w:p w:rsidR="00385206" w:rsidRPr="00A20449" w:rsidRDefault="00385206" w:rsidP="00385206">
      <w:pPr>
        <w:rPr>
          <w:b/>
          <w:bCs/>
          <w:sz w:val="22"/>
        </w:rPr>
      </w:pPr>
    </w:p>
    <w:p w:rsidR="00385206" w:rsidRPr="00A20449" w:rsidRDefault="00385206" w:rsidP="00385206">
      <w:pPr>
        <w:rPr>
          <w:b/>
          <w:bCs/>
          <w:sz w:val="22"/>
        </w:rPr>
      </w:pPr>
    </w:p>
    <w:p w:rsidR="00385206" w:rsidRPr="00A20449" w:rsidRDefault="00385206" w:rsidP="00385206">
      <w:pPr>
        <w:rPr>
          <w:b/>
          <w:bCs/>
          <w:sz w:val="22"/>
        </w:rPr>
      </w:pPr>
    </w:p>
    <w:p w:rsidR="00385206" w:rsidRPr="00A20449" w:rsidRDefault="00385206" w:rsidP="00385206">
      <w:pPr>
        <w:rPr>
          <w:b/>
          <w:bCs/>
          <w:sz w:val="22"/>
        </w:rPr>
      </w:pPr>
    </w:p>
    <w:p w:rsidR="00385206" w:rsidRPr="00A20449" w:rsidRDefault="00385206" w:rsidP="00385206">
      <w:pPr>
        <w:rPr>
          <w:b/>
          <w:bCs/>
          <w:sz w:val="22"/>
        </w:rPr>
      </w:pPr>
    </w:p>
    <w:p w:rsidR="00385206" w:rsidRPr="00A20449" w:rsidRDefault="00385206" w:rsidP="00385206">
      <w:pPr>
        <w:rPr>
          <w:sz w:val="22"/>
        </w:rPr>
      </w:pPr>
    </w:p>
    <w:p w:rsidR="00385206" w:rsidRPr="00A20449" w:rsidRDefault="00385206" w:rsidP="00385206">
      <w:pPr>
        <w:rPr>
          <w:sz w:val="22"/>
        </w:rPr>
      </w:pPr>
    </w:p>
    <w:p w:rsidR="00385206" w:rsidRPr="00A20449" w:rsidRDefault="00385206" w:rsidP="00385206">
      <w:pPr>
        <w:rPr>
          <w:sz w:val="22"/>
        </w:rPr>
      </w:pPr>
    </w:p>
    <w:p w:rsidR="00385206" w:rsidRPr="00A20449" w:rsidRDefault="00385206" w:rsidP="00385206">
      <w:pPr>
        <w:rPr>
          <w:sz w:val="22"/>
        </w:rPr>
      </w:pPr>
    </w:p>
    <w:p w:rsidR="00385206" w:rsidRPr="00A20449" w:rsidRDefault="00385206" w:rsidP="00385206">
      <w:pPr>
        <w:rPr>
          <w:sz w:val="22"/>
        </w:rPr>
      </w:pPr>
    </w:p>
    <w:p w:rsidR="00385206" w:rsidRPr="00A20449" w:rsidRDefault="00385206" w:rsidP="00385206">
      <w:pPr>
        <w:rPr>
          <w:sz w:val="22"/>
        </w:rPr>
      </w:pPr>
    </w:p>
    <w:p w:rsidR="00385206" w:rsidRPr="005B3AA4" w:rsidRDefault="00385206" w:rsidP="00385206">
      <w:pPr>
        <w:rPr>
          <w:rFonts w:eastAsia="Times New Roman"/>
          <w:b/>
          <w:bCs/>
          <w:sz w:val="22"/>
          <w:lang w:val="en-GB" w:eastAsia="es-ES"/>
        </w:rPr>
      </w:pPr>
      <w:r w:rsidRPr="005B3AA4">
        <w:rPr>
          <w:rFonts w:eastAsia="Times New Roman"/>
          <w:b/>
          <w:bCs/>
          <w:sz w:val="22"/>
          <w:lang w:val="en-GB" w:eastAsia="es-ES"/>
        </w:rPr>
        <w:lastRenderedPageBreak/>
        <w:t>CONTROL</w:t>
      </w:r>
    </w:p>
    <w:p w:rsidR="00385206" w:rsidRPr="005B3AA4" w:rsidRDefault="00385206" w:rsidP="00385206">
      <w:pPr>
        <w:rPr>
          <w:rFonts w:eastAsia="Times New Roman"/>
          <w:sz w:val="22"/>
          <w:lang w:val="en-GB" w:eastAsia="es-ES"/>
        </w:rPr>
      </w:pPr>
    </w:p>
    <w:p w:rsidR="00385206" w:rsidRPr="005B3AA4" w:rsidRDefault="00385206" w:rsidP="00385206">
      <w:pPr>
        <w:ind w:left="0" w:firstLine="0"/>
        <w:rPr>
          <w:sz w:val="22"/>
          <w:lang w:val="en-GB"/>
        </w:rPr>
      </w:pPr>
      <w:r w:rsidRPr="005B3AA4">
        <w:rPr>
          <w:sz w:val="22"/>
          <w:lang w:val="en-GB"/>
        </w:rPr>
        <w:t xml:space="preserve">Notification of </w:t>
      </w:r>
      <w:r>
        <w:rPr>
          <w:sz w:val="22"/>
          <w:lang w:val="en-GB"/>
        </w:rPr>
        <w:t>l</w:t>
      </w:r>
      <w:r w:rsidRPr="005B3AA4">
        <w:rPr>
          <w:sz w:val="22"/>
          <w:lang w:val="en-GB"/>
        </w:rPr>
        <w:t xml:space="preserve">eishmaniasis </w:t>
      </w:r>
      <w:r>
        <w:rPr>
          <w:sz w:val="22"/>
          <w:lang w:val="en-GB"/>
        </w:rPr>
        <w:t>has been</w:t>
      </w:r>
      <w:r w:rsidRPr="005B3AA4">
        <w:rPr>
          <w:sz w:val="22"/>
          <w:lang w:val="en-GB"/>
        </w:rPr>
        <w:t xml:space="preserve"> mandatory in Ecuador since 2005. Case registration is passive. There is a vector control program in place that includes </w:t>
      </w:r>
      <w:proofErr w:type="spellStart"/>
      <w:r w:rsidRPr="005B3AA4">
        <w:rPr>
          <w:sz w:val="22"/>
          <w:lang w:val="en-GB"/>
        </w:rPr>
        <w:t>bednet</w:t>
      </w:r>
      <w:proofErr w:type="spellEnd"/>
      <w:r w:rsidRPr="005B3AA4">
        <w:rPr>
          <w:sz w:val="22"/>
          <w:lang w:val="en-GB"/>
        </w:rPr>
        <w:t xml:space="preserve"> distribution and regular insecticide spraying during epidemic outbreaks. Control measures are to be adopted in response to outbreaks or epidemics and involve indoor and </w:t>
      </w:r>
      <w:proofErr w:type="spellStart"/>
      <w:r w:rsidRPr="005B3AA4">
        <w:rPr>
          <w:sz w:val="22"/>
          <w:lang w:val="en-GB"/>
        </w:rPr>
        <w:t>peridomestic</w:t>
      </w:r>
      <w:proofErr w:type="spellEnd"/>
      <w:r w:rsidRPr="005B3AA4">
        <w:rPr>
          <w:sz w:val="22"/>
          <w:lang w:val="en-GB"/>
        </w:rPr>
        <w:t xml:space="preserve"> spraying, carried out by the National Malaria Eradication Service</w:t>
      </w:r>
      <w:r>
        <w:rPr>
          <w:sz w:val="22"/>
          <w:lang w:val="en-GB"/>
        </w:rPr>
        <w:t>;</w:t>
      </w:r>
      <w:r w:rsidRPr="005B3AA4">
        <w:rPr>
          <w:sz w:val="22"/>
          <w:lang w:val="en-GB"/>
        </w:rPr>
        <w:t xml:space="preserve"> active case detection and treatment of cases</w:t>
      </w:r>
      <w:r>
        <w:rPr>
          <w:sz w:val="22"/>
          <w:lang w:val="en-GB"/>
        </w:rPr>
        <w:t>;</w:t>
      </w:r>
      <w:r w:rsidRPr="005B3AA4">
        <w:rPr>
          <w:sz w:val="22"/>
          <w:lang w:val="en-GB"/>
        </w:rPr>
        <w:t xml:space="preserve"> use of insecticide-treated bed nets, and educational campaigns in coordination with other Ministry of Public Health agencies and the community. However, due to a lack of budget, this program has not been implemented</w:t>
      </w:r>
      <w:r>
        <w:rPr>
          <w:sz w:val="22"/>
          <w:lang w:val="en-GB"/>
        </w:rPr>
        <w:t xml:space="preserve"> yet,</w:t>
      </w:r>
      <w:r w:rsidRPr="005B3AA4">
        <w:rPr>
          <w:sz w:val="22"/>
          <w:lang w:val="en-GB"/>
        </w:rPr>
        <w:t xml:space="preserve"> apart from the purchase and distribution of drugs.</w:t>
      </w:r>
    </w:p>
    <w:p w:rsidR="00385206" w:rsidRPr="005B3AA4" w:rsidRDefault="00385206" w:rsidP="00385206">
      <w:pPr>
        <w:ind w:left="0" w:firstLine="0"/>
        <w:rPr>
          <w:sz w:val="22"/>
          <w:lang w:val="en-GB"/>
        </w:rPr>
      </w:pPr>
    </w:p>
    <w:p w:rsidR="00385206" w:rsidRPr="005B3AA4" w:rsidRDefault="00385206" w:rsidP="00385206">
      <w:pPr>
        <w:ind w:left="0" w:firstLine="0"/>
        <w:rPr>
          <w:sz w:val="22"/>
          <w:lang w:val="en-GB"/>
        </w:rPr>
      </w:pPr>
    </w:p>
    <w:p w:rsidR="00385206" w:rsidRPr="00A20449" w:rsidRDefault="00385206" w:rsidP="00385206">
      <w:pPr>
        <w:spacing w:line="360" w:lineRule="auto"/>
        <w:rPr>
          <w:b/>
          <w:sz w:val="22"/>
          <w:lang w:val="en-US"/>
        </w:rPr>
      </w:pPr>
      <w:r w:rsidRPr="00A20449">
        <w:rPr>
          <w:b/>
          <w:sz w:val="22"/>
          <w:lang w:val="en-US"/>
        </w:rPr>
        <w:t xml:space="preserve">DIAGNOSIS, TREATMENT </w:t>
      </w:r>
    </w:p>
    <w:p w:rsidR="00385206" w:rsidRPr="005B3AA4" w:rsidRDefault="00385206" w:rsidP="00385206">
      <w:pPr>
        <w:ind w:left="0" w:firstLine="0"/>
        <w:rPr>
          <w:b/>
          <w:sz w:val="22"/>
          <w:lang w:val="en-GB"/>
        </w:rPr>
      </w:pPr>
      <w:r w:rsidRPr="005B3AA4">
        <w:rPr>
          <w:b/>
          <w:sz w:val="22"/>
          <w:lang w:val="en-GB"/>
        </w:rPr>
        <w:t>Diagnosis</w:t>
      </w:r>
    </w:p>
    <w:p w:rsidR="00385206" w:rsidRPr="00EF6EC8" w:rsidRDefault="00385206" w:rsidP="00385206">
      <w:pPr>
        <w:rPr>
          <w:sz w:val="22"/>
        </w:rPr>
      </w:pPr>
      <w:r w:rsidRPr="00EF6EC8">
        <w:rPr>
          <w:sz w:val="22"/>
        </w:rPr>
        <w:t xml:space="preserve">CL: </w:t>
      </w:r>
      <w:proofErr w:type="spellStart"/>
      <w:r w:rsidRPr="00EF6EC8">
        <w:rPr>
          <w:sz w:val="22"/>
        </w:rPr>
        <w:t>confirmation</w:t>
      </w:r>
      <w:proofErr w:type="spellEnd"/>
      <w:r w:rsidRPr="00EF6EC8">
        <w:rPr>
          <w:sz w:val="22"/>
        </w:rPr>
        <w:t xml:space="preserve"> </w:t>
      </w:r>
      <w:proofErr w:type="spellStart"/>
      <w:r w:rsidRPr="00EF6EC8">
        <w:rPr>
          <w:sz w:val="22"/>
        </w:rPr>
        <w:t>by</w:t>
      </w:r>
      <w:proofErr w:type="spellEnd"/>
      <w:r w:rsidRPr="00EF6EC8">
        <w:rPr>
          <w:sz w:val="22"/>
        </w:rPr>
        <w:t xml:space="preserve"> </w:t>
      </w:r>
      <w:proofErr w:type="spellStart"/>
      <w:r w:rsidRPr="00EF6EC8">
        <w:rPr>
          <w:sz w:val="22"/>
        </w:rPr>
        <w:t>microscopic</w:t>
      </w:r>
      <w:proofErr w:type="spellEnd"/>
      <w:r w:rsidRPr="00EF6EC8">
        <w:rPr>
          <w:sz w:val="22"/>
        </w:rPr>
        <w:t xml:space="preserve"> </w:t>
      </w:r>
      <w:proofErr w:type="spellStart"/>
      <w:r w:rsidRPr="00EF6EC8">
        <w:rPr>
          <w:sz w:val="22"/>
        </w:rPr>
        <w:t>examination</w:t>
      </w:r>
      <w:proofErr w:type="spellEnd"/>
      <w:r w:rsidRPr="00EF6EC8">
        <w:rPr>
          <w:sz w:val="22"/>
        </w:rPr>
        <w:t xml:space="preserve"> of </w:t>
      </w:r>
      <w:proofErr w:type="spellStart"/>
      <w:r w:rsidRPr="00EF6EC8">
        <w:rPr>
          <w:sz w:val="22"/>
        </w:rPr>
        <w:t>skin</w:t>
      </w:r>
      <w:proofErr w:type="spellEnd"/>
      <w:r w:rsidRPr="00EF6EC8">
        <w:rPr>
          <w:sz w:val="22"/>
        </w:rPr>
        <w:t xml:space="preserve"> </w:t>
      </w:r>
      <w:proofErr w:type="spellStart"/>
      <w:r w:rsidRPr="00EF6EC8">
        <w:rPr>
          <w:sz w:val="22"/>
        </w:rPr>
        <w:t>lesion</w:t>
      </w:r>
      <w:proofErr w:type="spellEnd"/>
      <w:r w:rsidRPr="00EF6EC8">
        <w:rPr>
          <w:sz w:val="22"/>
        </w:rPr>
        <w:t xml:space="preserve"> </w:t>
      </w:r>
      <w:proofErr w:type="spellStart"/>
      <w:r w:rsidRPr="00EF6EC8">
        <w:rPr>
          <w:sz w:val="22"/>
        </w:rPr>
        <w:t>sample</w:t>
      </w:r>
      <w:proofErr w:type="spellEnd"/>
      <w:r w:rsidRPr="00EF6EC8">
        <w:rPr>
          <w:sz w:val="22"/>
        </w:rPr>
        <w:t xml:space="preserve">. </w:t>
      </w:r>
    </w:p>
    <w:p w:rsidR="00385206" w:rsidRPr="005B3AA4" w:rsidRDefault="00385206" w:rsidP="00385206">
      <w:pPr>
        <w:ind w:left="0" w:firstLine="0"/>
        <w:rPr>
          <w:sz w:val="22"/>
          <w:lang w:val="en-GB"/>
        </w:rPr>
      </w:pPr>
    </w:p>
    <w:p w:rsidR="00385206" w:rsidRPr="005B3AA4" w:rsidRDefault="00385206" w:rsidP="00385206">
      <w:pPr>
        <w:ind w:left="0" w:firstLine="0"/>
        <w:rPr>
          <w:b/>
          <w:sz w:val="22"/>
          <w:lang w:val="en-GB"/>
        </w:rPr>
      </w:pPr>
      <w:r w:rsidRPr="005B3AA4">
        <w:rPr>
          <w:b/>
          <w:sz w:val="22"/>
          <w:lang w:val="en-GB"/>
        </w:rPr>
        <w:t>Treatment:</w:t>
      </w:r>
    </w:p>
    <w:p w:rsidR="00385206" w:rsidRPr="00EF6EC8" w:rsidRDefault="00385206" w:rsidP="00385206">
      <w:pPr>
        <w:ind w:left="0" w:firstLine="0"/>
        <w:rPr>
          <w:sz w:val="22"/>
        </w:rPr>
      </w:pPr>
      <w:r w:rsidRPr="00EF6EC8">
        <w:rPr>
          <w:sz w:val="22"/>
        </w:rPr>
        <w:t xml:space="preserve">CL: antimonials, 10-20 mg </w:t>
      </w:r>
      <w:r w:rsidRPr="001905E8">
        <w:rPr>
          <w:sz w:val="22"/>
        </w:rPr>
        <w:t xml:space="preserve"> </w:t>
      </w:r>
      <w:proofErr w:type="spellStart"/>
      <w:r>
        <w:rPr>
          <w:sz w:val="22"/>
        </w:rPr>
        <w:t>Sb</w:t>
      </w:r>
      <w:r w:rsidRPr="001905E8">
        <w:rPr>
          <w:sz w:val="22"/>
          <w:vertAlign w:val="superscript"/>
        </w:rPr>
        <w:t>v</w:t>
      </w:r>
      <w:proofErr w:type="spellEnd"/>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Second</w:t>
      </w:r>
      <w:proofErr w:type="spellEnd"/>
      <w:r w:rsidRPr="00EF6EC8">
        <w:rPr>
          <w:sz w:val="22"/>
        </w:rPr>
        <w:t xml:space="preserve"> line: </w:t>
      </w:r>
      <w:proofErr w:type="spellStart"/>
      <w:r w:rsidRPr="00EF6EC8">
        <w:rPr>
          <w:sz w:val="22"/>
        </w:rPr>
        <w:t>conventional</w:t>
      </w:r>
      <w:proofErr w:type="spellEnd"/>
      <w:r w:rsidRPr="00EF6EC8">
        <w:rPr>
          <w:sz w:val="22"/>
        </w:rPr>
        <w:t xml:space="preserve"> amphotericin B, 0.5-1 mg/kg/</w:t>
      </w:r>
      <w:proofErr w:type="spellStart"/>
      <w:r w:rsidRPr="00EF6EC8">
        <w:rPr>
          <w:sz w:val="22"/>
        </w:rPr>
        <w:t>day</w:t>
      </w:r>
      <w:proofErr w:type="spellEnd"/>
      <w:r w:rsidRPr="00EF6EC8">
        <w:rPr>
          <w:sz w:val="22"/>
        </w:rPr>
        <w:t xml:space="preserve">. </w:t>
      </w:r>
      <w:proofErr w:type="spellStart"/>
      <w:r w:rsidRPr="00EF6EC8">
        <w:rPr>
          <w:sz w:val="22"/>
        </w:rPr>
        <w:t>Third</w:t>
      </w:r>
      <w:proofErr w:type="spellEnd"/>
      <w:r w:rsidRPr="00EF6EC8">
        <w:rPr>
          <w:sz w:val="22"/>
        </w:rPr>
        <w:t xml:space="preserve"> line: </w:t>
      </w:r>
      <w:proofErr w:type="spellStart"/>
      <w:r w:rsidRPr="00EF6EC8">
        <w:rPr>
          <w:sz w:val="22"/>
        </w:rPr>
        <w:t>pentamidine</w:t>
      </w:r>
      <w:proofErr w:type="spellEnd"/>
      <w:r w:rsidRPr="00EF6EC8">
        <w:rPr>
          <w:sz w:val="22"/>
        </w:rPr>
        <w:t>, 4 mg/kg/</w:t>
      </w:r>
      <w:proofErr w:type="spellStart"/>
      <w:r w:rsidRPr="00EF6EC8">
        <w:rPr>
          <w:sz w:val="22"/>
        </w:rPr>
        <w:t>day</w:t>
      </w:r>
      <w:proofErr w:type="spellEnd"/>
      <w:r w:rsidRPr="00EF6EC8">
        <w:rPr>
          <w:sz w:val="22"/>
        </w:rPr>
        <w:t xml:space="preserve">. Miltefosine </w:t>
      </w:r>
      <w:proofErr w:type="spellStart"/>
      <w:r w:rsidRPr="00EF6EC8">
        <w:rPr>
          <w:sz w:val="22"/>
        </w:rPr>
        <w:t>was</w:t>
      </w:r>
      <w:proofErr w:type="spellEnd"/>
      <w:r w:rsidRPr="00EF6EC8">
        <w:rPr>
          <w:sz w:val="22"/>
        </w:rPr>
        <w:t xml:space="preserve"> </w:t>
      </w:r>
      <w:proofErr w:type="spellStart"/>
      <w:r w:rsidRPr="00EF6EC8">
        <w:rPr>
          <w:sz w:val="22"/>
        </w:rPr>
        <w:t>introduced</w:t>
      </w:r>
      <w:proofErr w:type="spellEnd"/>
      <w:r w:rsidRPr="00EF6EC8">
        <w:rPr>
          <w:sz w:val="22"/>
        </w:rPr>
        <w:t xml:space="preserve"> as </w:t>
      </w:r>
      <w:proofErr w:type="spellStart"/>
      <w:r w:rsidRPr="00EF6EC8">
        <w:rPr>
          <w:sz w:val="22"/>
        </w:rPr>
        <w:t>an</w:t>
      </w:r>
      <w:proofErr w:type="spellEnd"/>
      <w:r w:rsidRPr="00EF6EC8">
        <w:rPr>
          <w:sz w:val="22"/>
        </w:rPr>
        <w:t xml:space="preserve"> oral </w:t>
      </w:r>
      <w:proofErr w:type="spellStart"/>
      <w:r w:rsidRPr="00EF6EC8">
        <w:rPr>
          <w:sz w:val="22"/>
        </w:rPr>
        <w:t>alternative</w:t>
      </w:r>
      <w:proofErr w:type="spellEnd"/>
      <w:r w:rsidRPr="00EF6EC8">
        <w:rPr>
          <w:sz w:val="22"/>
        </w:rPr>
        <w:t xml:space="preserve"> in 2008. </w:t>
      </w:r>
    </w:p>
    <w:p w:rsidR="00385206" w:rsidRPr="00EF6EC8" w:rsidRDefault="00385206" w:rsidP="00385206">
      <w:pPr>
        <w:ind w:left="0" w:firstLine="0"/>
        <w:rPr>
          <w:sz w:val="22"/>
        </w:rPr>
      </w:pPr>
    </w:p>
    <w:p w:rsidR="00385206" w:rsidRPr="00A20449" w:rsidRDefault="00385206" w:rsidP="00385206">
      <w:pPr>
        <w:jc w:val="left"/>
        <w:rPr>
          <w:sz w:val="22"/>
          <w:lang w:val="en-GB"/>
        </w:rPr>
      </w:pPr>
    </w:p>
    <w:p w:rsidR="00385206" w:rsidRPr="00A20449" w:rsidRDefault="00385206" w:rsidP="00385206">
      <w:pPr>
        <w:spacing w:line="360" w:lineRule="auto"/>
        <w:rPr>
          <w:b/>
          <w:bCs/>
          <w:sz w:val="22"/>
          <w:lang w:val="en-US"/>
        </w:rPr>
      </w:pPr>
      <w:r w:rsidRPr="00A20449">
        <w:rPr>
          <w:b/>
          <w:bCs/>
          <w:sz w:val="22"/>
          <w:lang w:val="en-US"/>
        </w:rPr>
        <w:t xml:space="preserve">ACCESS TO CARE </w:t>
      </w:r>
    </w:p>
    <w:p w:rsidR="00385206" w:rsidRPr="005B3AA4" w:rsidRDefault="00385206" w:rsidP="00385206">
      <w:pPr>
        <w:ind w:left="0" w:firstLine="0"/>
        <w:rPr>
          <w:sz w:val="22"/>
          <w:lang w:val="en-GB"/>
        </w:rPr>
      </w:pPr>
      <w:r w:rsidRPr="005B3AA4">
        <w:rPr>
          <w:sz w:val="22"/>
          <w:lang w:val="en-GB"/>
        </w:rPr>
        <w:t>Confirmed cases receive treatment free of charge in the facilities r</w:t>
      </w:r>
      <w:r>
        <w:rPr>
          <w:sz w:val="22"/>
          <w:lang w:val="en-GB"/>
        </w:rPr>
        <w:t>a</w:t>
      </w:r>
      <w:r w:rsidRPr="005B3AA4">
        <w:rPr>
          <w:sz w:val="22"/>
          <w:lang w:val="en-GB"/>
        </w:rPr>
        <w:t>n by the Ministry of Health</w:t>
      </w:r>
      <w:r>
        <w:rPr>
          <w:sz w:val="22"/>
          <w:lang w:val="en-GB"/>
        </w:rPr>
        <w:t>,</w:t>
      </w:r>
      <w:r w:rsidRPr="005B3AA4">
        <w:rPr>
          <w:sz w:val="22"/>
          <w:lang w:val="en-GB"/>
        </w:rPr>
        <w:t xml:space="preserve"> </w:t>
      </w:r>
      <w:r>
        <w:rPr>
          <w:sz w:val="22"/>
          <w:lang w:val="en-GB"/>
        </w:rPr>
        <w:t>which</w:t>
      </w:r>
      <w:r w:rsidRPr="005B3AA4">
        <w:rPr>
          <w:sz w:val="22"/>
          <w:lang w:val="en-GB"/>
        </w:rPr>
        <w:t xml:space="preserve"> purchased sufficient drugs (meglumine antimoniate, </w:t>
      </w:r>
      <w:proofErr w:type="spellStart"/>
      <w:r>
        <w:rPr>
          <w:sz w:val="22"/>
          <w:lang w:val="en-GB"/>
        </w:rPr>
        <w:t>Sanofi</w:t>
      </w:r>
      <w:proofErr w:type="spellEnd"/>
      <w:r w:rsidRPr="005B3AA4">
        <w:rPr>
          <w:sz w:val="22"/>
          <w:lang w:val="en-GB"/>
        </w:rPr>
        <w:t xml:space="preserve">) for all reported cases in 2007 and 2008. However, access to treatment is incomplete. CL is a problem that mainly affects people living in rural areas, to </w:t>
      </w:r>
      <w:proofErr w:type="gramStart"/>
      <w:r w:rsidRPr="005B3AA4">
        <w:rPr>
          <w:sz w:val="22"/>
          <w:lang w:val="en-GB"/>
        </w:rPr>
        <w:t>wh</w:t>
      </w:r>
      <w:r>
        <w:rPr>
          <w:sz w:val="22"/>
          <w:lang w:val="en-GB"/>
        </w:rPr>
        <w:t>om</w:t>
      </w:r>
      <w:proofErr w:type="gramEnd"/>
      <w:r w:rsidRPr="005B3AA4">
        <w:rPr>
          <w:sz w:val="22"/>
          <w:lang w:val="en-GB"/>
        </w:rPr>
        <w:t xml:space="preserve"> the disease does not pose a serious threat since it is not disabling and only occasionally causes complications. It does not generate much concern in communities (it is rarely epidemic), </w:t>
      </w:r>
      <w:r>
        <w:rPr>
          <w:sz w:val="22"/>
          <w:lang w:val="en-GB"/>
        </w:rPr>
        <w:t xml:space="preserve">as </w:t>
      </w:r>
      <w:r w:rsidRPr="005B3AA4">
        <w:rPr>
          <w:sz w:val="22"/>
          <w:lang w:val="en-GB"/>
        </w:rPr>
        <w:t xml:space="preserve">the lesions may heal spontaneously, </w:t>
      </w:r>
      <w:r>
        <w:rPr>
          <w:sz w:val="22"/>
          <w:lang w:val="en-GB"/>
        </w:rPr>
        <w:t>so</w:t>
      </w:r>
      <w:r w:rsidRPr="005B3AA4">
        <w:rPr>
          <w:sz w:val="22"/>
          <w:lang w:val="en-GB"/>
        </w:rPr>
        <w:t xml:space="preserve"> patients wait a long time before seeking medical attention. Most patients self-medicate or use home remedies before resorting to public health </w:t>
      </w:r>
      <w:proofErr w:type="spellStart"/>
      <w:r w:rsidRPr="005B3AA4">
        <w:rPr>
          <w:sz w:val="22"/>
          <w:lang w:val="en-GB"/>
        </w:rPr>
        <w:t>cente</w:t>
      </w:r>
      <w:r>
        <w:rPr>
          <w:sz w:val="22"/>
          <w:lang w:val="en-GB"/>
        </w:rPr>
        <w:t>r</w:t>
      </w:r>
      <w:r w:rsidRPr="005B3AA4">
        <w:rPr>
          <w:sz w:val="22"/>
          <w:lang w:val="en-GB"/>
        </w:rPr>
        <w:t>s</w:t>
      </w:r>
      <w:proofErr w:type="spellEnd"/>
      <w:r w:rsidRPr="005B3AA4">
        <w:rPr>
          <w:sz w:val="22"/>
          <w:lang w:val="en-GB"/>
        </w:rPr>
        <w:t>. When the need arises</w:t>
      </w:r>
      <w:r>
        <w:rPr>
          <w:sz w:val="22"/>
          <w:lang w:val="en-GB"/>
        </w:rPr>
        <w:t>,</w:t>
      </w:r>
      <w:r w:rsidRPr="005B3AA4">
        <w:rPr>
          <w:sz w:val="22"/>
          <w:lang w:val="en-GB"/>
        </w:rPr>
        <w:t xml:space="preserve"> they experience difficulties in accessing public health facilities. Diagnosis and treatment for CL is only offered at advanced health care levels, </w:t>
      </w:r>
      <w:r>
        <w:rPr>
          <w:sz w:val="22"/>
          <w:lang w:val="en-GB"/>
        </w:rPr>
        <w:t>but</w:t>
      </w:r>
      <w:r w:rsidRPr="005B3AA4">
        <w:rPr>
          <w:sz w:val="22"/>
          <w:lang w:val="en-GB"/>
        </w:rPr>
        <w:t xml:space="preserve"> patients live in very remote areas with no health facilities and no transport. There is a lack of trained human resources for treating leishmaniasis, and confirmatory laboratory diagnosis is only made in a few establishments (usually one in each province). </w:t>
      </w:r>
    </w:p>
    <w:p w:rsidR="00385206" w:rsidRPr="005B3AA4" w:rsidRDefault="00385206" w:rsidP="00385206">
      <w:pPr>
        <w:ind w:left="0" w:firstLine="0"/>
        <w:rPr>
          <w:sz w:val="22"/>
          <w:lang w:val="en-GB"/>
        </w:rPr>
      </w:pPr>
    </w:p>
    <w:p w:rsidR="00385206" w:rsidRPr="005B3AA4" w:rsidRDefault="00385206" w:rsidP="00385206">
      <w:pPr>
        <w:ind w:left="0" w:firstLine="0"/>
        <w:rPr>
          <w:sz w:val="22"/>
          <w:lang w:val="en-GB"/>
        </w:rPr>
      </w:pPr>
      <w:r w:rsidRPr="005B3AA4">
        <w:rPr>
          <w:sz w:val="22"/>
          <w:lang w:val="en-GB"/>
        </w:rPr>
        <w:t>The pr</w:t>
      </w:r>
      <w:r>
        <w:rPr>
          <w:sz w:val="22"/>
          <w:lang w:val="en-GB"/>
        </w:rPr>
        <w:t>i</w:t>
      </w:r>
      <w:r w:rsidRPr="005B3AA4">
        <w:rPr>
          <w:sz w:val="22"/>
          <w:lang w:val="en-GB"/>
        </w:rPr>
        <w:t>vate sector is not used</w:t>
      </w:r>
      <w:r>
        <w:rPr>
          <w:sz w:val="22"/>
          <w:lang w:val="en-GB"/>
        </w:rPr>
        <w:t xml:space="preserve"> much</w:t>
      </w:r>
      <w:r w:rsidRPr="005B3AA4">
        <w:rPr>
          <w:sz w:val="22"/>
          <w:lang w:val="en-GB"/>
        </w:rPr>
        <w:t xml:space="preserve">. About 2% of MCL patients seek care in the private sector. </w:t>
      </w:r>
    </w:p>
    <w:p w:rsidR="00385206" w:rsidRPr="005B3AA4" w:rsidRDefault="00385206" w:rsidP="00385206">
      <w:pPr>
        <w:ind w:left="0" w:firstLine="0"/>
        <w:rPr>
          <w:sz w:val="22"/>
          <w:lang w:val="en-GB"/>
        </w:rPr>
      </w:pPr>
    </w:p>
    <w:p w:rsidR="00385206" w:rsidRPr="00A20449" w:rsidRDefault="00385206" w:rsidP="00385206">
      <w:pPr>
        <w:ind w:left="0" w:firstLine="0"/>
        <w:rPr>
          <w:sz w:val="22"/>
          <w:lang w:val="en-GB"/>
        </w:rPr>
      </w:pPr>
    </w:p>
    <w:p w:rsidR="00385206" w:rsidRPr="00A20449" w:rsidRDefault="00385206" w:rsidP="00385206">
      <w:pPr>
        <w:ind w:left="0" w:firstLine="0"/>
        <w:rPr>
          <w:sz w:val="22"/>
          <w:lang w:val="en-GB"/>
        </w:rPr>
      </w:pPr>
      <w:r w:rsidRPr="00A20449">
        <w:rPr>
          <w:b/>
          <w:sz w:val="22"/>
          <w:lang w:val="en-GB"/>
        </w:rPr>
        <w:t>ACCESS TO DRUGS</w:t>
      </w:r>
      <w:r w:rsidRPr="00A20449">
        <w:rPr>
          <w:sz w:val="22"/>
          <w:lang w:val="en-GB"/>
        </w:rPr>
        <w:t xml:space="preserve"> </w:t>
      </w:r>
    </w:p>
    <w:p w:rsidR="00385206" w:rsidRPr="00A20449" w:rsidRDefault="00385206" w:rsidP="00385206">
      <w:pPr>
        <w:ind w:left="0" w:firstLine="0"/>
        <w:rPr>
          <w:sz w:val="22"/>
          <w:lang w:val="en-GB"/>
        </w:rPr>
      </w:pPr>
    </w:p>
    <w:p w:rsidR="00385206" w:rsidRPr="005B3AA4" w:rsidRDefault="00385206" w:rsidP="00385206">
      <w:pPr>
        <w:ind w:left="0" w:firstLine="0"/>
        <w:rPr>
          <w:sz w:val="22"/>
          <w:lang w:val="en-GB"/>
        </w:rPr>
      </w:pPr>
      <w:r w:rsidRPr="005B3AA4">
        <w:rPr>
          <w:sz w:val="22"/>
          <w:lang w:val="en-GB"/>
        </w:rPr>
        <w:t xml:space="preserve">Meglumine antimoniate and miltefosine (10 and 50 mg tablets) are included in the National Essential Drug List for CL. Drugs for leishmaniasis are not sold in the private sector </w:t>
      </w:r>
      <w:proofErr w:type="gramStart"/>
      <w:r w:rsidRPr="005B3AA4">
        <w:rPr>
          <w:sz w:val="22"/>
          <w:lang w:val="en-GB"/>
        </w:rPr>
        <w:t>nor</w:t>
      </w:r>
      <w:proofErr w:type="gramEnd"/>
      <w:r w:rsidRPr="005B3AA4">
        <w:rPr>
          <w:sz w:val="22"/>
          <w:lang w:val="en-GB"/>
        </w:rPr>
        <w:t xml:space="preserve"> in unregulated drugs markets. Meglumine antimoniate (Glucantime, </w:t>
      </w:r>
      <w:proofErr w:type="spellStart"/>
      <w:r>
        <w:rPr>
          <w:sz w:val="22"/>
          <w:lang w:val="en-GB"/>
        </w:rPr>
        <w:t>Sanofi</w:t>
      </w:r>
      <w:proofErr w:type="spellEnd"/>
      <w:r w:rsidRPr="005B3AA4">
        <w:rPr>
          <w:sz w:val="22"/>
          <w:lang w:val="en-GB"/>
        </w:rPr>
        <w:t>) and miltefosine (Paladin, Canada) are registered.</w:t>
      </w:r>
    </w:p>
    <w:p w:rsidR="00385206" w:rsidRPr="005B3AA4" w:rsidRDefault="00385206" w:rsidP="00385206">
      <w:pPr>
        <w:ind w:left="0" w:firstLine="0"/>
        <w:rPr>
          <w:sz w:val="22"/>
          <w:lang w:val="en-GB"/>
        </w:rPr>
      </w:pPr>
    </w:p>
    <w:p w:rsidR="00385206" w:rsidRDefault="00385206" w:rsidP="00385206">
      <w:pPr>
        <w:rPr>
          <w:b/>
          <w:sz w:val="22"/>
          <w:lang w:val="en-GB"/>
        </w:rPr>
      </w:pPr>
    </w:p>
    <w:p w:rsidR="00385206" w:rsidRDefault="00385206" w:rsidP="00385206">
      <w:pPr>
        <w:rPr>
          <w:b/>
          <w:sz w:val="22"/>
          <w:lang w:val="en-GB"/>
        </w:rPr>
      </w:pPr>
    </w:p>
    <w:p w:rsidR="00385206" w:rsidRDefault="00385206" w:rsidP="00385206">
      <w:pPr>
        <w:rPr>
          <w:b/>
          <w:sz w:val="22"/>
          <w:lang w:val="en-GB"/>
        </w:rPr>
      </w:pPr>
    </w:p>
    <w:p w:rsidR="00385206" w:rsidRPr="005B3AA4" w:rsidRDefault="00385206" w:rsidP="00385206">
      <w:pPr>
        <w:rPr>
          <w:b/>
          <w:sz w:val="22"/>
          <w:lang w:val="en-GB"/>
        </w:rPr>
      </w:pPr>
      <w:r w:rsidRPr="005B3AA4">
        <w:rPr>
          <w:b/>
          <w:sz w:val="22"/>
          <w:lang w:val="en-GB"/>
        </w:rPr>
        <w:lastRenderedPageBreak/>
        <w:t>SOURCES OF INFORMATION</w:t>
      </w:r>
    </w:p>
    <w:p w:rsidR="00385206" w:rsidRPr="005B3AA4" w:rsidRDefault="00385206" w:rsidP="00385206">
      <w:pPr>
        <w:rPr>
          <w:b/>
          <w:sz w:val="22"/>
          <w:lang w:val="en-GB"/>
        </w:rPr>
      </w:pPr>
    </w:p>
    <w:p w:rsidR="00385206" w:rsidRPr="00ED30A5" w:rsidRDefault="00385206" w:rsidP="00385206">
      <w:pPr>
        <w:numPr>
          <w:ilvl w:val="0"/>
          <w:numId w:val="5"/>
        </w:numPr>
        <w:rPr>
          <w:b/>
          <w:sz w:val="22"/>
          <w:lang w:val="es-ES"/>
        </w:rPr>
      </w:pPr>
      <w:r w:rsidRPr="00ED30A5">
        <w:rPr>
          <w:rFonts w:eastAsia="Times New Roman"/>
          <w:bCs/>
          <w:sz w:val="22"/>
          <w:lang w:val="es-ES"/>
        </w:rPr>
        <w:t>Dr. Lenin V</w:t>
      </w:r>
      <w:r>
        <w:rPr>
          <w:rFonts w:eastAsia="Times New Roman"/>
          <w:bCs/>
          <w:sz w:val="22"/>
          <w:lang w:val="es-ES"/>
        </w:rPr>
        <w:t>é</w:t>
      </w:r>
      <w:r w:rsidRPr="00ED30A5">
        <w:rPr>
          <w:rFonts w:eastAsia="Times New Roman"/>
          <w:bCs/>
          <w:sz w:val="22"/>
          <w:lang w:val="es-ES"/>
        </w:rPr>
        <w:t xml:space="preserve">lez Nieto, SNEM Guayaquil - Ministerio de Salud. </w:t>
      </w:r>
      <w:r w:rsidRPr="00C16214">
        <w:rPr>
          <w:bCs/>
          <w:i/>
          <w:iCs/>
          <w:color w:val="000000"/>
          <w:sz w:val="22"/>
          <w:lang w:val="es-ES"/>
        </w:rPr>
        <w:t>Leishmaniasis en la Región de</w:t>
      </w:r>
      <w:r>
        <w:rPr>
          <w:bCs/>
          <w:i/>
          <w:iCs/>
          <w:color w:val="000000"/>
          <w:sz w:val="22"/>
          <w:lang w:val="es-ES"/>
        </w:rPr>
        <w:t xml:space="preserve"> las </w:t>
      </w:r>
      <w:r w:rsidRPr="00C16214">
        <w:rPr>
          <w:bCs/>
          <w:i/>
          <w:iCs/>
          <w:color w:val="000000"/>
          <w:sz w:val="22"/>
          <w:lang w:val="es-ES"/>
        </w:rPr>
        <w:t xml:space="preserve"> América</w:t>
      </w:r>
      <w:r>
        <w:rPr>
          <w:bCs/>
          <w:i/>
          <w:iCs/>
          <w:color w:val="000000"/>
          <w:sz w:val="22"/>
          <w:lang w:val="es-ES"/>
        </w:rPr>
        <w:t>s</w:t>
      </w:r>
      <w:r w:rsidRPr="00C16214">
        <w:rPr>
          <w:bCs/>
          <w:i/>
          <w:iCs/>
          <w:color w:val="000000"/>
          <w:sz w:val="22"/>
          <w:lang w:val="es-ES"/>
        </w:rPr>
        <w:t xml:space="preserve">. </w:t>
      </w:r>
      <w:r w:rsidRPr="00697466">
        <w:rPr>
          <w:bCs/>
          <w:i/>
          <w:iCs/>
          <w:sz w:val="22"/>
          <w:lang w:val="es-ES"/>
        </w:rPr>
        <w:t>Reuni</w:t>
      </w:r>
      <w:r w:rsidRPr="00697466">
        <w:rPr>
          <w:bCs/>
          <w:i/>
          <w:iCs/>
          <w:color w:val="000000"/>
          <w:sz w:val="22"/>
          <w:lang w:val="es-ES"/>
        </w:rPr>
        <w:t>ó</w:t>
      </w:r>
      <w:r w:rsidRPr="00697466">
        <w:rPr>
          <w:bCs/>
          <w:i/>
          <w:iCs/>
          <w:sz w:val="22"/>
          <w:lang w:val="es-ES"/>
        </w:rPr>
        <w:t>n de coordinadores de Programa Nacional de Leishmaniasis.</w:t>
      </w:r>
      <w:r>
        <w:rPr>
          <w:bCs/>
          <w:i/>
          <w:iCs/>
          <w:sz w:val="22"/>
          <w:lang w:val="es-ES"/>
        </w:rPr>
        <w:t xml:space="preserve"> OPS/OMS.</w:t>
      </w:r>
      <w:r w:rsidRPr="00697466">
        <w:rPr>
          <w:bCs/>
          <w:i/>
          <w:iCs/>
          <w:sz w:val="22"/>
          <w:lang w:val="es-ES"/>
        </w:rPr>
        <w:t xml:space="preserve"> Medell</w:t>
      </w:r>
      <w:r w:rsidRPr="00697466">
        <w:rPr>
          <w:bCs/>
          <w:i/>
          <w:iCs/>
          <w:color w:val="000000"/>
          <w:sz w:val="22"/>
          <w:lang w:val="es-ES"/>
        </w:rPr>
        <w:t>í</w:t>
      </w:r>
      <w:r w:rsidRPr="00697466">
        <w:rPr>
          <w:bCs/>
          <w:i/>
          <w:iCs/>
          <w:sz w:val="22"/>
          <w:lang w:val="es-ES"/>
        </w:rPr>
        <w:t>n, Colombia</w:t>
      </w:r>
      <w:r>
        <w:rPr>
          <w:bCs/>
          <w:i/>
          <w:iCs/>
          <w:sz w:val="22"/>
          <w:lang w:val="es-ES"/>
        </w:rPr>
        <w:t>.</w:t>
      </w:r>
      <w:r w:rsidRPr="00697466">
        <w:rPr>
          <w:bCs/>
          <w:i/>
          <w:iCs/>
          <w:sz w:val="22"/>
          <w:lang w:val="es-ES"/>
        </w:rPr>
        <w:t xml:space="preserve"> 4-6 junio 2008</w:t>
      </w:r>
    </w:p>
    <w:p w:rsidR="00385206" w:rsidRPr="00EF6EC8" w:rsidRDefault="00385206" w:rsidP="00385206">
      <w:pPr>
        <w:ind w:left="0" w:firstLine="0"/>
        <w:rPr>
          <w:rFonts w:eastAsia="Times New Roman"/>
          <w:b/>
          <w:bCs/>
          <w:sz w:val="22"/>
          <w:lang w:val="es-ES"/>
        </w:rPr>
      </w:pPr>
    </w:p>
    <w:p w:rsidR="00385206" w:rsidRPr="00EF6EC8" w:rsidRDefault="00385206" w:rsidP="00385206">
      <w:pPr>
        <w:rPr>
          <w:rFonts w:eastAsia="Times New Roman"/>
          <w:bCs/>
          <w:color w:val="000000"/>
          <w:sz w:val="22"/>
          <w:lang w:val="es-ES"/>
        </w:rPr>
      </w:pPr>
    </w:p>
    <w:p w:rsidR="00385206" w:rsidRPr="00385206" w:rsidRDefault="00385206" w:rsidP="00385206">
      <w:pPr>
        <w:ind w:left="0" w:firstLine="0"/>
        <w:rPr>
          <w:bCs/>
          <w:color w:val="000000"/>
          <w:sz w:val="22"/>
          <w:lang w:val="en-US"/>
        </w:rPr>
      </w:pPr>
      <w:r w:rsidRPr="00385206">
        <w:rPr>
          <w:rFonts w:eastAsia="Times New Roman"/>
          <w:bCs/>
          <w:color w:val="000000"/>
          <w:sz w:val="22"/>
          <w:lang w:val="es-ES"/>
        </w:rPr>
        <w:t xml:space="preserve">1. Armijos RX, </w:t>
      </w:r>
      <w:proofErr w:type="spellStart"/>
      <w:r w:rsidRPr="00385206">
        <w:rPr>
          <w:rFonts w:eastAsia="Times New Roman"/>
          <w:bCs/>
          <w:color w:val="000000"/>
          <w:sz w:val="22"/>
          <w:lang w:val="es-ES"/>
        </w:rPr>
        <w:t>Weigel</w:t>
      </w:r>
      <w:proofErr w:type="spellEnd"/>
      <w:r w:rsidRPr="00385206">
        <w:rPr>
          <w:rFonts w:eastAsia="Times New Roman"/>
          <w:bCs/>
          <w:color w:val="000000"/>
          <w:sz w:val="22"/>
          <w:lang w:val="es-ES"/>
        </w:rPr>
        <w:t xml:space="preserve"> MM, Izurieta R, </w:t>
      </w:r>
      <w:proofErr w:type="spellStart"/>
      <w:r w:rsidRPr="00385206">
        <w:rPr>
          <w:rFonts w:eastAsia="Times New Roman"/>
          <w:bCs/>
          <w:color w:val="000000"/>
          <w:sz w:val="22"/>
          <w:lang w:val="es-ES"/>
        </w:rPr>
        <w:t>Racines</w:t>
      </w:r>
      <w:proofErr w:type="spellEnd"/>
      <w:r w:rsidRPr="00385206">
        <w:rPr>
          <w:rFonts w:eastAsia="Times New Roman"/>
          <w:bCs/>
          <w:color w:val="000000"/>
          <w:sz w:val="22"/>
          <w:lang w:val="es-ES"/>
        </w:rPr>
        <w:t xml:space="preserve"> J, Zurita C</w:t>
      </w:r>
      <w:r w:rsidRPr="00385206">
        <w:rPr>
          <w:bCs/>
          <w:color w:val="000000"/>
          <w:sz w:val="22"/>
          <w:lang w:val="nl-NL"/>
        </w:rPr>
        <w:t xml:space="preserve"> et al (1997). </w:t>
      </w:r>
      <w:hyperlink r:id="rId9" w:tgtFrame="_parent" w:history="1">
        <w:proofErr w:type="gramStart"/>
        <w:r w:rsidRPr="00385206">
          <w:rPr>
            <w:rStyle w:val="Hyperlink"/>
            <w:bCs/>
            <w:color w:val="000000"/>
            <w:sz w:val="22"/>
            <w:u w:val="none"/>
            <w:lang w:val="en-GB"/>
          </w:rPr>
          <w:t xml:space="preserve">The epidemiology of cutaneous leishmaniasis in </w:t>
        </w:r>
      </w:hyperlink>
      <w:hyperlink r:id="rId10" w:tgtFrame="_parent" w:history="1">
        <w:r w:rsidRPr="00385206">
          <w:rPr>
            <w:rStyle w:val="Hyperlink"/>
            <w:bCs/>
            <w:color w:val="000000"/>
            <w:sz w:val="22"/>
            <w:u w:val="none"/>
            <w:lang w:val="en-GB"/>
          </w:rPr>
          <w:t>subtropical Ecuador.</w:t>
        </w:r>
        <w:proofErr w:type="gramEnd"/>
      </w:hyperlink>
      <w:r w:rsidRPr="00385206">
        <w:rPr>
          <w:bCs/>
          <w:color w:val="000000"/>
          <w:sz w:val="22"/>
          <w:lang w:val="en-GB"/>
        </w:rPr>
        <w:t xml:space="preserve"> </w:t>
      </w:r>
      <w:proofErr w:type="spellStart"/>
      <w:r w:rsidRPr="00385206">
        <w:rPr>
          <w:bCs/>
          <w:color w:val="000000"/>
          <w:sz w:val="22"/>
          <w:lang w:val="en-US"/>
        </w:rPr>
        <w:t>Trop</w:t>
      </w:r>
      <w:proofErr w:type="spellEnd"/>
      <w:r w:rsidRPr="00385206">
        <w:rPr>
          <w:bCs/>
          <w:color w:val="000000"/>
          <w:sz w:val="22"/>
          <w:lang w:val="en-US"/>
        </w:rPr>
        <w:t xml:space="preserve"> Med </w:t>
      </w:r>
      <w:proofErr w:type="spellStart"/>
      <w:r w:rsidRPr="00385206">
        <w:rPr>
          <w:bCs/>
          <w:color w:val="000000"/>
          <w:sz w:val="22"/>
          <w:lang w:val="en-US"/>
        </w:rPr>
        <w:t>Int</w:t>
      </w:r>
      <w:proofErr w:type="spellEnd"/>
      <w:r w:rsidRPr="00385206">
        <w:rPr>
          <w:bCs/>
          <w:color w:val="000000"/>
          <w:sz w:val="22"/>
          <w:lang w:val="en-US"/>
        </w:rPr>
        <w:t xml:space="preserve"> Health 2(2):140-52.</w:t>
      </w:r>
    </w:p>
    <w:p w:rsidR="00385206" w:rsidRPr="00385206" w:rsidRDefault="00385206" w:rsidP="00385206">
      <w:pPr>
        <w:ind w:left="0" w:firstLine="0"/>
        <w:rPr>
          <w:color w:val="000000"/>
          <w:sz w:val="22"/>
          <w:lang w:val="en-US"/>
        </w:rPr>
      </w:pPr>
    </w:p>
    <w:p w:rsidR="00385206" w:rsidRPr="00385206" w:rsidRDefault="00385206" w:rsidP="00385206">
      <w:pPr>
        <w:ind w:left="0" w:firstLine="0"/>
        <w:rPr>
          <w:bCs/>
          <w:color w:val="000000"/>
          <w:sz w:val="22"/>
          <w:lang w:val="en-US"/>
        </w:rPr>
      </w:pPr>
      <w:r w:rsidRPr="00385206">
        <w:rPr>
          <w:bCs/>
          <w:color w:val="000000"/>
          <w:sz w:val="22"/>
          <w:lang w:val="en-US"/>
        </w:rPr>
        <w:t xml:space="preserve">2. </w:t>
      </w:r>
      <w:proofErr w:type="spellStart"/>
      <w:r w:rsidRPr="00385206">
        <w:rPr>
          <w:bCs/>
          <w:color w:val="000000"/>
          <w:sz w:val="22"/>
          <w:lang w:val="en-US"/>
        </w:rPr>
        <w:t>Calvopiña</w:t>
      </w:r>
      <w:proofErr w:type="spellEnd"/>
      <w:r w:rsidRPr="00385206">
        <w:rPr>
          <w:bCs/>
          <w:color w:val="000000"/>
          <w:sz w:val="22"/>
          <w:lang w:val="en-US"/>
        </w:rPr>
        <w:t xml:space="preserve"> M, </w:t>
      </w:r>
      <w:proofErr w:type="spellStart"/>
      <w:r w:rsidRPr="00385206">
        <w:rPr>
          <w:bCs/>
          <w:color w:val="000000"/>
          <w:sz w:val="22"/>
          <w:lang w:val="en-US"/>
        </w:rPr>
        <w:t>Armijos</w:t>
      </w:r>
      <w:proofErr w:type="spellEnd"/>
      <w:r w:rsidRPr="00385206">
        <w:rPr>
          <w:bCs/>
          <w:color w:val="000000"/>
          <w:sz w:val="22"/>
          <w:lang w:val="en-US"/>
        </w:rPr>
        <w:t xml:space="preserve"> RX, Hashiguchi Y (2004). Epidemiology of Leishmaniasis in </w:t>
      </w:r>
      <w:smartTag w:uri="urn:schemas-microsoft-com:office:smarttags" w:element="place">
        <w:smartTag w:uri="urn:schemas-microsoft-com:office:smarttags" w:element="country-region">
          <w:r w:rsidRPr="00385206">
            <w:rPr>
              <w:bCs/>
              <w:color w:val="000000"/>
              <w:sz w:val="22"/>
              <w:lang w:val="en-US"/>
            </w:rPr>
            <w:t>Ecuador</w:t>
          </w:r>
        </w:smartTag>
      </w:smartTag>
      <w:r w:rsidRPr="00385206">
        <w:rPr>
          <w:bCs/>
          <w:color w:val="000000"/>
          <w:sz w:val="22"/>
          <w:lang w:val="en-US"/>
        </w:rPr>
        <w:t xml:space="preserve">: Current Status of Knowledge - A Review.  </w:t>
      </w:r>
      <w:proofErr w:type="spellStart"/>
      <w:r w:rsidRPr="00385206">
        <w:rPr>
          <w:bCs/>
          <w:color w:val="000000"/>
          <w:sz w:val="22"/>
          <w:lang w:val="en-US"/>
        </w:rPr>
        <w:t>Mem</w:t>
      </w:r>
      <w:proofErr w:type="spellEnd"/>
      <w:r w:rsidRPr="00385206">
        <w:rPr>
          <w:bCs/>
          <w:color w:val="000000"/>
          <w:sz w:val="22"/>
          <w:lang w:val="en-US"/>
        </w:rPr>
        <w:t xml:space="preserve"> Inst </w:t>
      </w:r>
      <w:proofErr w:type="spellStart"/>
      <w:r w:rsidRPr="00385206">
        <w:rPr>
          <w:bCs/>
          <w:color w:val="000000"/>
          <w:sz w:val="22"/>
          <w:lang w:val="en-US"/>
        </w:rPr>
        <w:t>Oswaldo</w:t>
      </w:r>
      <w:proofErr w:type="spellEnd"/>
      <w:r w:rsidRPr="00385206">
        <w:rPr>
          <w:bCs/>
          <w:color w:val="000000"/>
          <w:sz w:val="22"/>
          <w:lang w:val="en-US"/>
        </w:rPr>
        <w:t xml:space="preserve"> Cruz, Rio de Janeiro 99 (7): 663-672.</w:t>
      </w:r>
    </w:p>
    <w:p w:rsidR="00385206" w:rsidRPr="00385206" w:rsidRDefault="00385206" w:rsidP="00385206">
      <w:pPr>
        <w:ind w:left="0" w:firstLine="0"/>
        <w:rPr>
          <w:bCs/>
          <w:color w:val="000000"/>
          <w:sz w:val="22"/>
          <w:lang w:val="en-US"/>
        </w:rPr>
      </w:pPr>
    </w:p>
    <w:p w:rsidR="00385206" w:rsidRPr="00385206" w:rsidRDefault="00385206" w:rsidP="00385206">
      <w:pPr>
        <w:ind w:left="0" w:firstLine="0"/>
        <w:rPr>
          <w:bCs/>
          <w:color w:val="000000"/>
          <w:sz w:val="22"/>
          <w:lang w:val="en-GB"/>
        </w:rPr>
      </w:pPr>
      <w:r w:rsidRPr="00385206">
        <w:rPr>
          <w:bCs/>
          <w:color w:val="000000"/>
          <w:sz w:val="22"/>
          <w:lang w:val="en-US"/>
        </w:rPr>
        <w:t xml:space="preserve">3. </w:t>
      </w:r>
      <w:proofErr w:type="spellStart"/>
      <w:r w:rsidRPr="00385206">
        <w:rPr>
          <w:bCs/>
          <w:color w:val="000000"/>
          <w:sz w:val="22"/>
          <w:lang w:val="en-US"/>
        </w:rPr>
        <w:t>Calvopiña</w:t>
      </w:r>
      <w:proofErr w:type="spellEnd"/>
      <w:r w:rsidRPr="00385206">
        <w:rPr>
          <w:bCs/>
          <w:color w:val="000000"/>
          <w:sz w:val="22"/>
          <w:lang w:val="en-US"/>
        </w:rPr>
        <w:t xml:space="preserve"> M, </w:t>
      </w:r>
      <w:proofErr w:type="spellStart"/>
      <w:r w:rsidRPr="00385206">
        <w:rPr>
          <w:bCs/>
          <w:color w:val="000000"/>
          <w:sz w:val="22"/>
          <w:lang w:val="en-US"/>
        </w:rPr>
        <w:t>Armijos</w:t>
      </w:r>
      <w:proofErr w:type="spellEnd"/>
      <w:r w:rsidRPr="00385206">
        <w:rPr>
          <w:bCs/>
          <w:color w:val="000000"/>
          <w:sz w:val="22"/>
          <w:lang w:val="en-US"/>
        </w:rPr>
        <w:t xml:space="preserve"> RX, Marco JD, </w:t>
      </w:r>
      <w:proofErr w:type="spellStart"/>
      <w:r w:rsidRPr="00385206">
        <w:rPr>
          <w:bCs/>
          <w:color w:val="000000"/>
          <w:sz w:val="22"/>
          <w:lang w:val="en-US"/>
        </w:rPr>
        <w:t>Uezato</w:t>
      </w:r>
      <w:proofErr w:type="spellEnd"/>
      <w:r w:rsidRPr="00385206">
        <w:rPr>
          <w:bCs/>
          <w:color w:val="000000"/>
          <w:sz w:val="22"/>
          <w:lang w:val="en-US"/>
        </w:rPr>
        <w:t xml:space="preserve"> H, Kato H et al (2006) </w:t>
      </w:r>
      <w:hyperlink r:id="rId11" w:tgtFrame="_parent" w:history="1">
        <w:r w:rsidRPr="00385206">
          <w:rPr>
            <w:rStyle w:val="Hyperlink"/>
            <w:bCs/>
            <w:color w:val="000000"/>
            <w:sz w:val="22"/>
            <w:u w:val="none"/>
            <w:lang w:val="en-US"/>
          </w:rPr>
          <w:t xml:space="preserve">Leishmania </w:t>
        </w:r>
        <w:proofErr w:type="spellStart"/>
        <w:r w:rsidRPr="00385206">
          <w:rPr>
            <w:rStyle w:val="Hyperlink"/>
            <w:bCs/>
            <w:color w:val="000000"/>
            <w:sz w:val="22"/>
            <w:u w:val="none"/>
            <w:lang w:val="en-US"/>
          </w:rPr>
          <w:t>isoenzyme</w:t>
        </w:r>
        <w:proofErr w:type="spellEnd"/>
        <w:r w:rsidRPr="00385206">
          <w:rPr>
            <w:rStyle w:val="Hyperlink"/>
            <w:bCs/>
            <w:color w:val="000000"/>
            <w:sz w:val="22"/>
            <w:u w:val="none"/>
            <w:lang w:val="en-US"/>
          </w:rPr>
          <w:t xml:space="preserve"> polymorphisms in Ecuador: relationships with geographic distribution and clinical </w:t>
        </w:r>
      </w:hyperlink>
      <w:hyperlink r:id="rId12" w:tgtFrame="_parent" w:history="1">
        <w:r w:rsidRPr="00385206">
          <w:rPr>
            <w:rStyle w:val="Hyperlink"/>
            <w:bCs/>
            <w:color w:val="000000"/>
            <w:sz w:val="22"/>
            <w:u w:val="none"/>
            <w:lang w:val="en-US"/>
          </w:rPr>
          <w:t>presentation.</w:t>
        </w:r>
      </w:hyperlink>
      <w:r w:rsidRPr="00385206">
        <w:rPr>
          <w:bCs/>
          <w:color w:val="000000"/>
          <w:sz w:val="22"/>
          <w:lang w:val="en-GB"/>
        </w:rPr>
        <w:t xml:space="preserve"> </w:t>
      </w:r>
      <w:r w:rsidRPr="00385206">
        <w:rPr>
          <w:bCs/>
          <w:color w:val="000000"/>
          <w:sz w:val="22"/>
          <w:lang w:val="en-US"/>
        </w:rPr>
        <w:t xml:space="preserve">BMC Infect </w:t>
      </w:r>
      <w:proofErr w:type="spellStart"/>
      <w:r w:rsidRPr="00385206">
        <w:rPr>
          <w:bCs/>
          <w:color w:val="000000"/>
          <w:sz w:val="22"/>
          <w:lang w:val="en-US"/>
        </w:rPr>
        <w:t>Dis</w:t>
      </w:r>
      <w:proofErr w:type="spellEnd"/>
      <w:r w:rsidRPr="00385206">
        <w:rPr>
          <w:bCs/>
          <w:color w:val="000000"/>
          <w:sz w:val="22"/>
          <w:lang w:val="en-US"/>
        </w:rPr>
        <w:t xml:space="preserve"> 6:139.</w:t>
      </w:r>
    </w:p>
    <w:p w:rsidR="00385206" w:rsidRPr="00385206" w:rsidRDefault="00385206" w:rsidP="00385206">
      <w:pPr>
        <w:ind w:left="0" w:firstLine="0"/>
        <w:rPr>
          <w:bCs/>
          <w:color w:val="000000"/>
          <w:sz w:val="22"/>
          <w:lang w:val="en-US"/>
        </w:rPr>
      </w:pPr>
    </w:p>
    <w:p w:rsidR="00385206" w:rsidRPr="00385206" w:rsidRDefault="00385206" w:rsidP="00385206">
      <w:pPr>
        <w:ind w:left="0" w:firstLine="0"/>
        <w:rPr>
          <w:bCs/>
          <w:color w:val="000000"/>
          <w:sz w:val="22"/>
          <w:lang w:val="en-US"/>
        </w:rPr>
      </w:pPr>
      <w:r w:rsidRPr="00385206">
        <w:rPr>
          <w:bCs/>
          <w:color w:val="000000"/>
          <w:sz w:val="22"/>
          <w:lang w:val="nl-NL"/>
        </w:rPr>
        <w:t xml:space="preserve">4. Weigel MM, Armijos RX, Racines RJ, Zurita C, Izurieta R et al (1994). </w:t>
      </w:r>
      <w:hyperlink r:id="rId13" w:tgtFrame="_parent" w:history="1">
        <w:r w:rsidRPr="00385206">
          <w:rPr>
            <w:rStyle w:val="Hyperlink"/>
            <w:bCs/>
            <w:color w:val="000000"/>
            <w:sz w:val="22"/>
            <w:u w:val="none"/>
            <w:lang w:val="en-US"/>
          </w:rPr>
          <w:t xml:space="preserve">Cutaneous leishmaniasis in subtropical </w:t>
        </w:r>
      </w:hyperlink>
      <w:hyperlink r:id="rId14" w:tgtFrame="_parent" w:history="1">
        <w:r w:rsidRPr="00385206">
          <w:rPr>
            <w:rStyle w:val="Hyperlink"/>
            <w:bCs/>
            <w:color w:val="000000"/>
            <w:sz w:val="22"/>
            <w:u w:val="none"/>
            <w:lang w:val="en-US"/>
          </w:rPr>
          <w:t>Ecuador: popular perceptions, knowledge, and treatment.</w:t>
        </w:r>
      </w:hyperlink>
      <w:r w:rsidRPr="00385206">
        <w:rPr>
          <w:bCs/>
          <w:color w:val="000000"/>
          <w:sz w:val="22"/>
          <w:lang w:val="en-GB"/>
        </w:rPr>
        <w:t xml:space="preserve"> </w:t>
      </w:r>
      <w:r w:rsidRPr="00385206">
        <w:rPr>
          <w:bCs/>
          <w:color w:val="000000"/>
          <w:sz w:val="22"/>
          <w:lang w:val="en-US"/>
        </w:rPr>
        <w:t>Bull Pan Am Health Organ 28(2):142-55.</w:t>
      </w:r>
    </w:p>
    <w:p w:rsidR="00385206" w:rsidRPr="00385206" w:rsidRDefault="00385206" w:rsidP="00385206">
      <w:pPr>
        <w:ind w:left="0" w:firstLine="0"/>
        <w:rPr>
          <w:bCs/>
          <w:color w:val="000000"/>
          <w:sz w:val="22"/>
          <w:lang w:val="en-GB"/>
        </w:rPr>
      </w:pPr>
    </w:p>
    <w:p w:rsidR="00385206" w:rsidRPr="00385206" w:rsidRDefault="00385206" w:rsidP="00385206">
      <w:pPr>
        <w:pStyle w:val="title1"/>
        <w:shd w:val="clear" w:color="auto" w:fill="FFFFFF"/>
        <w:jc w:val="both"/>
        <w:rPr>
          <w:rFonts w:ascii="Arial" w:hAnsi="Arial" w:cs="Arial"/>
          <w:sz w:val="22"/>
          <w:szCs w:val="22"/>
          <w:lang w:val="da-DK"/>
        </w:rPr>
      </w:pPr>
      <w:r w:rsidRPr="00385206">
        <w:rPr>
          <w:rFonts w:ascii="Arial" w:hAnsi="Arial" w:cs="Arial"/>
          <w:sz w:val="22"/>
          <w:szCs w:val="22"/>
        </w:rPr>
        <w:t xml:space="preserve">5. Hashiguchi Y, Gomez EA, de Coronel VV, </w:t>
      </w:r>
      <w:proofErr w:type="spellStart"/>
      <w:r w:rsidRPr="00385206">
        <w:rPr>
          <w:rFonts w:ascii="Arial" w:hAnsi="Arial" w:cs="Arial"/>
          <w:sz w:val="22"/>
          <w:szCs w:val="22"/>
        </w:rPr>
        <w:t>Mimori</w:t>
      </w:r>
      <w:proofErr w:type="spellEnd"/>
      <w:r w:rsidRPr="00385206">
        <w:rPr>
          <w:rFonts w:ascii="Arial" w:hAnsi="Arial" w:cs="Arial"/>
          <w:sz w:val="22"/>
          <w:szCs w:val="22"/>
        </w:rPr>
        <w:t xml:space="preserve"> T, Kawabata M et al (1991). </w:t>
      </w:r>
      <w:hyperlink r:id="rId15" w:history="1">
        <w:r w:rsidRPr="00385206">
          <w:rPr>
            <w:rFonts w:ascii="Arial" w:hAnsi="Arial" w:cs="Arial"/>
            <w:sz w:val="22"/>
            <w:szCs w:val="22"/>
          </w:rPr>
          <w:t>Andean leishmaniasis in Ecuador caused by infection with Leishmania mexicana and L. major-like parasites.</w:t>
        </w:r>
      </w:hyperlink>
      <w:r w:rsidRPr="00385206">
        <w:rPr>
          <w:rFonts w:ascii="Arial" w:hAnsi="Arial" w:cs="Arial"/>
          <w:sz w:val="22"/>
          <w:szCs w:val="22"/>
        </w:rPr>
        <w:t xml:space="preserve"> </w:t>
      </w:r>
      <w:r w:rsidRPr="00385206">
        <w:rPr>
          <w:rFonts w:ascii="Arial" w:hAnsi="Arial" w:cs="Arial"/>
          <w:sz w:val="22"/>
          <w:szCs w:val="22"/>
          <w:lang w:val="da-DK"/>
        </w:rPr>
        <w:t>Am J Trop Med Hyg 44(2):205-17.</w:t>
      </w:r>
    </w:p>
    <w:sectPr w:rsidR="00385206" w:rsidRPr="00385206"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0CE6BCF"/>
    <w:multiLevelType w:val="hybridMultilevel"/>
    <w:tmpl w:val="198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5206"/>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8520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4195C"/>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06"/>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styleId="Hyperlink">
    <w:name w:val="Hyperlink"/>
    <w:basedOn w:val="DefaultParagraphFont"/>
    <w:unhideWhenUsed/>
    <w:rsid w:val="00385206"/>
    <w:rPr>
      <w:color w:val="0000FF"/>
      <w:u w:val="single"/>
    </w:rPr>
  </w:style>
  <w:style w:type="paragraph" w:customStyle="1" w:styleId="title1">
    <w:name w:val="title1"/>
    <w:basedOn w:val="Normal"/>
    <w:rsid w:val="00385206"/>
    <w:pPr>
      <w:ind w:left="0" w:firstLine="0"/>
      <w:jc w:val="left"/>
    </w:pPr>
    <w:rPr>
      <w:rFonts w:ascii="Times New Roman" w:eastAsia="SimSun" w:hAnsi="Times New Roman" w:cs="Times New Roman"/>
      <w:sz w:val="29"/>
      <w:szCs w:val="29"/>
      <w:lang w:val="en-GB" w:eastAsia="zh-CN"/>
    </w:rPr>
  </w:style>
  <w:style w:type="paragraph" w:styleId="BalloonText">
    <w:name w:val="Balloon Text"/>
    <w:basedOn w:val="Normal"/>
    <w:link w:val="BalloonTextChar"/>
    <w:uiPriority w:val="99"/>
    <w:semiHidden/>
    <w:unhideWhenUsed/>
    <w:rsid w:val="00385206"/>
    <w:rPr>
      <w:rFonts w:ascii="Tahoma" w:hAnsi="Tahoma" w:cs="Tahoma"/>
      <w:sz w:val="16"/>
      <w:szCs w:val="16"/>
    </w:rPr>
  </w:style>
  <w:style w:type="character" w:customStyle="1" w:styleId="BalloonTextChar">
    <w:name w:val="Balloon Text Char"/>
    <w:basedOn w:val="DefaultParagraphFont"/>
    <w:link w:val="BalloonText"/>
    <w:uiPriority w:val="99"/>
    <w:semiHidden/>
    <w:rsid w:val="00385206"/>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8069334"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169685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16968553" TargetMode="External"/><Relationship Id="rId5" Type="http://schemas.openxmlformats.org/officeDocument/2006/relationships/image" Target="media/image1.jpeg"/><Relationship Id="rId15" Type="http://schemas.openxmlformats.org/officeDocument/2006/relationships/hyperlink" Target="http://www.ncbi.nlm.nih.gov/pubmed/1672799" TargetMode="External"/><Relationship Id="rId10" Type="http://schemas.openxmlformats.org/officeDocument/2006/relationships/hyperlink" Target="http://www.ncbi.nlm.nih.gov/pubmed/9472299" TargetMode="External"/><Relationship Id="rId4" Type="http://schemas.openxmlformats.org/officeDocument/2006/relationships/webSettings" Target="webSettings.xml"/><Relationship Id="rId9" Type="http://schemas.openxmlformats.org/officeDocument/2006/relationships/hyperlink" Target="http://www.ncbi.nlm.nih.gov/pubmed/9472299" TargetMode="External"/><Relationship Id="rId14" Type="http://schemas.openxmlformats.org/officeDocument/2006/relationships/hyperlink" Target="http://www.ncbi.nlm.nih.gov/pubmed/806933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5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0288808664259926"/>
          <c:y val="4.3918918918918935E-2"/>
          <c:w val="0.87906137184115518"/>
          <c:h val="0.78378378378378377"/>
        </c:manualLayout>
      </c:layout>
      <c:bar3DChart>
        <c:barDir val="col"/>
        <c:grouping val="clustered"/>
        <c:ser>
          <c:idx val="0"/>
          <c:order val="0"/>
          <c:tx>
            <c:strRef>
              <c:f>Sheet1!$A$2</c:f>
              <c:strCache>
                <c:ptCount val="1"/>
                <c:pt idx="0">
                  <c:v>cases</c:v>
                </c:pt>
              </c:strCache>
            </c:strRef>
          </c:tx>
          <c:spPr>
            <a:solidFill>
              <a:srgbClr val="4F81BD"/>
            </a:solidFill>
            <a:ln w="12683">
              <a:solidFill>
                <a:srgbClr val="000000"/>
              </a:solidFill>
              <a:prstDash val="solid"/>
            </a:ln>
          </c:spPr>
          <c:cat>
            <c:numRef>
              <c:f>Sheet1!$B$1:$M$1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Sheet1!$B$2:$M$2</c:f>
              <c:numCache>
                <c:formatCode>General</c:formatCode>
                <c:ptCount val="12"/>
                <c:pt idx="0">
                  <c:v>911</c:v>
                </c:pt>
                <c:pt idx="1">
                  <c:v>2628</c:v>
                </c:pt>
                <c:pt idx="2">
                  <c:v>1754</c:v>
                </c:pt>
                <c:pt idx="3">
                  <c:v>1253</c:v>
                </c:pt>
                <c:pt idx="4">
                  <c:v>1336</c:v>
                </c:pt>
                <c:pt idx="5">
                  <c:v>2494</c:v>
                </c:pt>
                <c:pt idx="6">
                  <c:v>1925</c:v>
                </c:pt>
                <c:pt idx="7">
                  <c:v>1536</c:v>
                </c:pt>
                <c:pt idx="8">
                  <c:v>1185</c:v>
                </c:pt>
                <c:pt idx="9">
                  <c:v>1479</c:v>
                </c:pt>
                <c:pt idx="10">
                  <c:v>1735</c:v>
                </c:pt>
                <c:pt idx="11">
                  <c:v>1629</c:v>
                </c:pt>
              </c:numCache>
            </c:numRef>
          </c:val>
        </c:ser>
        <c:gapDepth val="0"/>
        <c:shape val="box"/>
        <c:axId val="525485184"/>
        <c:axId val="525487488"/>
        <c:axId val="0"/>
      </c:bar3DChart>
      <c:catAx>
        <c:axId val="525485184"/>
        <c:scaling>
          <c:orientation val="minMax"/>
        </c:scaling>
        <c:axPos val="b"/>
        <c:numFmt formatCode="General" sourceLinked="1"/>
        <c:tickLblPos val="low"/>
        <c:spPr>
          <a:ln w="3171">
            <a:solidFill>
              <a:srgbClr val="000000"/>
            </a:solidFill>
            <a:prstDash val="solid"/>
          </a:ln>
        </c:spPr>
        <c:txPr>
          <a:bodyPr rot="0" vert="horz"/>
          <a:lstStyle/>
          <a:p>
            <a:pPr>
              <a:defRPr sz="824" b="1" i="0" u="none" strike="noStrike" baseline="0">
                <a:solidFill>
                  <a:srgbClr val="000000"/>
                </a:solidFill>
                <a:latin typeface="Arial"/>
                <a:ea typeface="Arial"/>
                <a:cs typeface="Arial"/>
              </a:defRPr>
            </a:pPr>
            <a:endParaRPr lang="en-US"/>
          </a:p>
        </c:txPr>
        <c:crossAx val="525487488"/>
        <c:crosses val="autoZero"/>
        <c:auto val="1"/>
        <c:lblAlgn val="ctr"/>
        <c:lblOffset val="100"/>
        <c:tickLblSkip val="1"/>
        <c:tickMarkSkip val="1"/>
      </c:catAx>
      <c:valAx>
        <c:axId val="525487488"/>
        <c:scaling>
          <c:orientation val="minMax"/>
        </c:scaling>
        <c:axPos val="l"/>
        <c:numFmt formatCode="General" sourceLinked="1"/>
        <c:tickLblPos val="nextTo"/>
        <c:spPr>
          <a:ln w="3171">
            <a:solidFill>
              <a:srgbClr val="000000"/>
            </a:solidFill>
            <a:prstDash val="solid"/>
          </a:ln>
        </c:spPr>
        <c:txPr>
          <a:bodyPr rot="0" vert="horz"/>
          <a:lstStyle/>
          <a:p>
            <a:pPr>
              <a:defRPr sz="824" b="1" i="0" u="none" strike="noStrike" baseline="0">
                <a:solidFill>
                  <a:srgbClr val="000000"/>
                </a:solidFill>
                <a:latin typeface="Arial"/>
                <a:ea typeface="Arial"/>
                <a:cs typeface="Arial"/>
              </a:defRPr>
            </a:pPr>
            <a:endParaRPr lang="en-US"/>
          </a:p>
        </c:txPr>
        <c:crossAx val="525485184"/>
        <c:crosses val="autoZero"/>
        <c:crossBetween val="between"/>
      </c:valAx>
      <c:dTable>
        <c:showHorzBorder val="1"/>
        <c:showVertBorder val="1"/>
        <c:showOutline val="1"/>
        <c:showKeys val="1"/>
        <c:spPr>
          <a:ln w="3171">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67">
          <a:noFill/>
        </a:ln>
      </c:spPr>
    </c:plotArea>
    <c:plotVisOnly val="1"/>
    <c:dispBlanksAs val="gap"/>
  </c:chart>
  <c:spPr>
    <a:noFill/>
    <a:ln>
      <a:noFill/>
    </a:ln>
  </c:spPr>
  <c:txPr>
    <a:bodyPr/>
    <a:lstStyle/>
    <a:p>
      <a:pPr>
        <a:defRPr sz="824"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2012-04-01T20:24:00Z</dcterms:created>
  <dcterms:modified xsi:type="dcterms:W3CDTF">2012-04-01T20:26:00Z</dcterms:modified>
</cp:coreProperties>
</file>