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C" w:rsidRDefault="00025E1C" w:rsidP="00025E1C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DEMOCRATIC REPUBLIC OF THE</w:t>
          </w:r>
          <w:r>
            <w:rPr>
              <w:b/>
              <w:sz w:val="22"/>
              <w:u w:val="single"/>
              <w:lang w:val="en-US"/>
            </w:rPr>
            <w:t xml:space="preserve"> CONGO</w:t>
          </w:r>
        </w:smartTag>
      </w:smartTag>
    </w:p>
    <w:p w:rsidR="00025E1C" w:rsidRPr="002C75B8" w:rsidRDefault="00025E1C" w:rsidP="00025E1C">
      <w:pPr>
        <w:ind w:left="0" w:firstLine="0"/>
        <w:rPr>
          <w:b/>
          <w:sz w:val="22"/>
          <w:u w:val="single"/>
          <w:lang w:val="en-GB"/>
        </w:rPr>
      </w:pPr>
    </w:p>
    <w:p w:rsidR="00025E1C" w:rsidRPr="005071F3" w:rsidRDefault="00025E1C" w:rsidP="00025E1C">
      <w:pPr>
        <w:spacing w:line="480" w:lineRule="auto"/>
        <w:ind w:left="0" w:firstLine="0"/>
        <w:rPr>
          <w:b/>
          <w:color w:val="FF0000"/>
          <w:sz w:val="22"/>
          <w:lang w:val="en-US"/>
        </w:rPr>
      </w:pPr>
      <w:r>
        <w:rPr>
          <w:b/>
          <w:noProof/>
          <w:color w:val="FF0000"/>
          <w:sz w:val="22"/>
          <w:lang w:val="en-US"/>
        </w:rPr>
        <w:drawing>
          <wp:inline distT="0" distB="0" distL="0" distR="0">
            <wp:extent cx="2520315" cy="1685925"/>
            <wp:effectExtent l="19050" t="0" r="0" b="0"/>
            <wp:docPr id="1" name="Picture 1" descr="CD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1C" w:rsidRDefault="00025E1C" w:rsidP="00025E1C">
      <w:pPr>
        <w:ind w:left="0" w:firstLine="0"/>
        <w:rPr>
          <w:b/>
          <w:sz w:val="22"/>
          <w:lang w:val="en-US"/>
        </w:rPr>
      </w:pPr>
    </w:p>
    <w:p w:rsidR="00025E1C" w:rsidRPr="002C75B8" w:rsidRDefault="00025E1C" w:rsidP="00025E1C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6</w:t>
      </w:r>
      <w:r>
        <w:rPr>
          <w:bCs/>
          <w:sz w:val="22"/>
          <w:lang w:val="en-US"/>
        </w:rPr>
        <w:t>5,965,795</w:t>
      </w:r>
      <w:r w:rsidRPr="002C75B8">
        <w:rPr>
          <w:bCs/>
          <w:sz w:val="22"/>
          <w:lang w:val="en-US"/>
        </w:rPr>
        <w:t xml:space="preserve"> 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4</w:t>
      </w:r>
      <w:r>
        <w:rPr>
          <w:bCs/>
          <w:sz w:val="22"/>
          <w:lang w:val="en-US"/>
        </w:rPr>
        <w:t>6</w:t>
      </w:r>
      <w:r w:rsidRPr="002C75B8">
        <w:rPr>
          <w:bCs/>
          <w:sz w:val="22"/>
          <w:lang w:val="en-US"/>
        </w:rPr>
        <w:t xml:space="preserve">% 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6</w:t>
      </w:r>
      <w:r>
        <w:rPr>
          <w:bCs/>
          <w:sz w:val="22"/>
          <w:lang w:val="en-US"/>
        </w:rPr>
        <w:t>5</w:t>
      </w:r>
      <w:r w:rsidRPr="002C75B8">
        <w:rPr>
          <w:bCs/>
          <w:sz w:val="22"/>
          <w:lang w:val="en-US"/>
        </w:rPr>
        <w:t xml:space="preserve">% 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 59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2%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71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3% 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 income economy </w:t>
      </w:r>
    </w:p>
    <w:p w:rsidR="00025E1C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</w:t>
      </w:r>
      <w:r w:rsidRPr="002C75B8">
        <w:rPr>
          <w:bCs/>
          <w:i/>
          <w:i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Low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>evelopment (ranking 1</w:t>
      </w:r>
      <w:r>
        <w:rPr>
          <w:bCs/>
          <w:sz w:val="22"/>
          <w:lang w:val="en-US"/>
        </w:rPr>
        <w:t>87</w:t>
      </w:r>
      <w:r w:rsidRPr="002C75B8">
        <w:rPr>
          <w:bCs/>
          <w:sz w:val="22"/>
          <w:lang w:val="en-US"/>
        </w:rPr>
        <w:t>)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3</w:t>
      </w: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4</w:t>
      </w:r>
      <w:r>
        <w:rPr>
          <w:bCs/>
          <w:sz w:val="22"/>
          <w:lang w:val="en-US"/>
        </w:rPr>
        <w:t>8</w:t>
      </w:r>
      <w:r w:rsidRPr="002C75B8">
        <w:rPr>
          <w:bCs/>
          <w:sz w:val="22"/>
          <w:lang w:val="en-US"/>
        </w:rPr>
        <w:t xml:space="preserve"> </w:t>
      </w:r>
    </w:p>
    <w:p w:rsidR="00025E1C" w:rsidRPr="002C75B8" w:rsidRDefault="00025E1C" w:rsidP="00025E1C">
      <w:pPr>
        <w:ind w:left="0" w:firstLine="0"/>
        <w:rPr>
          <w:bCs/>
          <w:sz w:val="22"/>
          <w:lang w:val="en-GB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37</w:t>
      </w:r>
    </w:p>
    <w:p w:rsidR="00025E1C" w:rsidRPr="002C75B8" w:rsidRDefault="00025E1C" w:rsidP="00025E1C">
      <w:pPr>
        <w:ind w:left="0" w:firstLine="0"/>
        <w:rPr>
          <w:b/>
          <w:sz w:val="22"/>
          <w:lang w:val="en-GB"/>
        </w:rPr>
      </w:pPr>
    </w:p>
    <w:p w:rsidR="00025E1C" w:rsidRPr="002C75B8" w:rsidRDefault="00025E1C" w:rsidP="00025E1C">
      <w:pPr>
        <w:ind w:left="0" w:firstLine="0"/>
        <w:rPr>
          <w:bCs/>
          <w:sz w:val="22"/>
          <w:lang w:val="en-US"/>
        </w:rPr>
      </w:pPr>
    </w:p>
    <w:p w:rsidR="00025E1C" w:rsidRPr="002C75B8" w:rsidRDefault="00025E1C" w:rsidP="00025E1C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025E1C" w:rsidRPr="002C75B8" w:rsidRDefault="00025E1C" w:rsidP="00025E1C">
      <w:pPr>
        <w:ind w:left="0" w:firstLine="0"/>
        <w:rPr>
          <w:sz w:val="22"/>
          <w:lang w:val="en-GB"/>
        </w:rPr>
      </w:pPr>
    </w:p>
    <w:p w:rsidR="00025E1C" w:rsidRPr="002C75B8" w:rsidRDefault="00025E1C" w:rsidP="00025E1C">
      <w:pPr>
        <w:ind w:left="0" w:firstLine="0"/>
        <w:rPr>
          <w:sz w:val="22"/>
        </w:rPr>
      </w:pPr>
      <w:r w:rsidRPr="002C75B8">
        <w:rPr>
          <w:sz w:val="22"/>
          <w:lang w:val="en-GB"/>
        </w:rPr>
        <w:t xml:space="preserve">Very few data on prevalence or incidence of leishmaniasis are available. In 1978, the first </w:t>
      </w:r>
      <w:proofErr w:type="spellStart"/>
      <w:r>
        <w:rPr>
          <w:sz w:val="22"/>
          <w:lang w:val="en-GB"/>
        </w:rPr>
        <w:t>autochtonous</w:t>
      </w:r>
      <w:proofErr w:type="spellEnd"/>
      <w:r w:rsidRPr="002C75B8">
        <w:rPr>
          <w:sz w:val="22"/>
          <w:lang w:val="en-GB"/>
        </w:rPr>
        <w:t xml:space="preserve"> confirmed VL case was reported from the </w:t>
      </w:r>
      <w:proofErr w:type="spellStart"/>
      <w:r w:rsidRPr="002C75B8">
        <w:rPr>
          <w:sz w:val="22"/>
          <w:lang w:val="en-GB"/>
        </w:rPr>
        <w:t>Gemena</w:t>
      </w:r>
      <w:proofErr w:type="spellEnd"/>
      <w:r w:rsidRPr="002C75B8">
        <w:rPr>
          <w:sz w:val="22"/>
          <w:lang w:val="en-GB"/>
        </w:rPr>
        <w:t xml:space="preserve"> region in the Guinean </w:t>
      </w:r>
      <w:proofErr w:type="spellStart"/>
      <w:r w:rsidRPr="002C75B8">
        <w:rPr>
          <w:sz w:val="22"/>
          <w:lang w:val="en-GB"/>
        </w:rPr>
        <w:t>savanna</w:t>
      </w:r>
      <w:proofErr w:type="spellEnd"/>
      <w:r w:rsidRPr="002C75B8">
        <w:rPr>
          <w:sz w:val="22"/>
          <w:lang w:val="en-GB"/>
        </w:rPr>
        <w:t xml:space="preserve">, north of the equatorial forest in the </w:t>
      </w:r>
      <w:r>
        <w:rPr>
          <w:sz w:val="22"/>
          <w:lang w:val="en-GB"/>
        </w:rPr>
        <w:t>n</w:t>
      </w:r>
      <w:r w:rsidRPr="002C75B8">
        <w:rPr>
          <w:sz w:val="22"/>
          <w:lang w:val="en-GB"/>
        </w:rPr>
        <w:t xml:space="preserve">orthwest of the country </w:t>
      </w:r>
      <w:r>
        <w:rPr>
          <w:sz w:val="22"/>
          <w:lang w:val="en-GB"/>
        </w:rPr>
        <w:t>[1]</w:t>
      </w:r>
      <w:r w:rsidRPr="002C75B8">
        <w:rPr>
          <w:sz w:val="22"/>
          <w:lang w:val="en-GB"/>
        </w:rPr>
        <w:t xml:space="preserve">. From 1983 to 1988, 6 cases with disseminated cutaneous nodules were reported (at least 3 </w:t>
      </w:r>
      <w:proofErr w:type="spellStart"/>
      <w:r>
        <w:rPr>
          <w:sz w:val="22"/>
          <w:lang w:val="en-GB"/>
        </w:rPr>
        <w:t>autochtonous</w:t>
      </w:r>
      <w:proofErr w:type="spellEnd"/>
      <w:r w:rsidRPr="002C75B8">
        <w:rPr>
          <w:sz w:val="22"/>
          <w:lang w:val="en-GB"/>
        </w:rPr>
        <w:t xml:space="preserve">) from the </w:t>
      </w:r>
      <w:r>
        <w:rPr>
          <w:sz w:val="22"/>
          <w:lang w:val="en-GB"/>
        </w:rPr>
        <w:t>S</w:t>
      </w:r>
      <w:r w:rsidRPr="002C75B8">
        <w:rPr>
          <w:sz w:val="22"/>
          <w:lang w:val="en-GB"/>
        </w:rPr>
        <w:t xml:space="preserve">outheast (Kasai and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Shaba</w:t>
          </w:r>
        </w:smartTag>
      </w:smartTag>
      <w:r w:rsidRPr="002C75B8">
        <w:rPr>
          <w:sz w:val="22"/>
          <w:lang w:val="en-GB"/>
        </w:rPr>
        <w:t>)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in the </w:t>
      </w:r>
      <w:proofErr w:type="spellStart"/>
      <w:r w:rsidRPr="002C75B8">
        <w:rPr>
          <w:sz w:val="22"/>
          <w:lang w:val="en-GB"/>
        </w:rPr>
        <w:t>savanna</w:t>
      </w:r>
      <w:proofErr w:type="spellEnd"/>
      <w:r w:rsidRPr="002C75B8">
        <w:rPr>
          <w:sz w:val="22"/>
          <w:lang w:val="en-GB"/>
        </w:rPr>
        <w:t xml:space="preserve"> belt, south of the forest. </w:t>
      </w:r>
      <w:r>
        <w:rPr>
          <w:sz w:val="22"/>
        </w:rPr>
        <w:t>N</w:t>
      </w:r>
      <w:r w:rsidRPr="002C75B8">
        <w:rPr>
          <w:sz w:val="22"/>
        </w:rPr>
        <w:t>o more cases</w:t>
      </w:r>
      <w:r>
        <w:rPr>
          <w:sz w:val="22"/>
        </w:rPr>
        <w:t xml:space="preserve"> </w:t>
      </w:r>
      <w:proofErr w:type="spellStart"/>
      <w:r>
        <w:rPr>
          <w:sz w:val="22"/>
        </w:rPr>
        <w:t>have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documented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recently</w:t>
      </w:r>
      <w:proofErr w:type="spellEnd"/>
      <w:r w:rsidRPr="002C75B8">
        <w:rPr>
          <w:sz w:val="22"/>
        </w:rPr>
        <w:t xml:space="preserve">. </w:t>
      </w:r>
    </w:p>
    <w:p w:rsidR="00025E1C" w:rsidRPr="002C75B8" w:rsidRDefault="00025E1C" w:rsidP="00025E1C">
      <w:pPr>
        <w:ind w:left="0" w:firstLine="0"/>
        <w:rPr>
          <w:sz w:val="22"/>
        </w:rPr>
      </w:pPr>
    </w:p>
    <w:p w:rsidR="00025E1C" w:rsidRPr="002C75B8" w:rsidRDefault="00025E1C" w:rsidP="00025E1C">
      <w:pPr>
        <w:ind w:left="0" w:firstLine="0"/>
        <w:rPr>
          <w:sz w:val="22"/>
        </w:rPr>
      </w:pPr>
    </w:p>
    <w:p w:rsidR="00025E1C" w:rsidRPr="002C75B8" w:rsidRDefault="00025E1C" w:rsidP="00025E1C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025E1C" w:rsidRPr="002C75B8" w:rsidRDefault="00025E1C" w:rsidP="00025E1C">
      <w:pPr>
        <w:ind w:left="0" w:firstLine="0"/>
        <w:rPr>
          <w:sz w:val="22"/>
        </w:rPr>
      </w:pPr>
    </w:p>
    <w:tbl>
      <w:tblPr>
        <w:tblW w:w="6480" w:type="dxa"/>
        <w:tblCellSpacing w:w="0" w:type="dxa"/>
        <w:tblInd w:w="55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78"/>
        <w:gridCol w:w="1528"/>
        <w:gridCol w:w="1734"/>
        <w:gridCol w:w="1440"/>
      </w:tblGrid>
      <w:tr w:rsidR="00025E1C" w:rsidRPr="002C75B8" w:rsidTr="00A7768B">
        <w:trPr>
          <w:trHeight w:val="465"/>
          <w:tblCellSpacing w:w="0" w:type="dxa"/>
        </w:trPr>
        <w:tc>
          <w:tcPr>
            <w:tcW w:w="1778" w:type="dxa"/>
            <w:tcBorders>
              <w:top w:val="single" w:sz="6" w:space="0" w:color="376092"/>
              <w:left w:val="single" w:sz="6" w:space="0" w:color="376092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025E1C" w:rsidRDefault="00025E1C" w:rsidP="00A7768B">
            <w:pPr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>Leishmania</w:t>
            </w:r>
          </w:p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528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1734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440" w:type="dxa"/>
            <w:tcBorders>
              <w:top w:val="single" w:sz="6" w:space="0" w:color="376092"/>
              <w:left w:val="single" w:sz="6" w:space="0" w:color="4F81BD"/>
              <w:bottom w:val="single" w:sz="6" w:space="0" w:color="4F81BD"/>
              <w:right w:val="single" w:sz="6" w:space="0" w:color="376092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25E1C" w:rsidRPr="002C75B8" w:rsidTr="00A7768B">
        <w:trPr>
          <w:trHeight w:val="195"/>
          <w:tblCellSpacing w:w="0" w:type="dxa"/>
        </w:trPr>
        <w:tc>
          <w:tcPr>
            <w:tcW w:w="1778" w:type="dxa"/>
            <w:tcBorders>
              <w:top w:val="single" w:sz="6" w:space="0" w:color="4F81BD"/>
              <w:left w:val="single" w:sz="6" w:space="0" w:color="376092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Unknown</w:t>
            </w:r>
          </w:p>
        </w:tc>
        <w:tc>
          <w:tcPr>
            <w:tcW w:w="1528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VL, CL</w:t>
            </w:r>
          </w:p>
        </w:tc>
        <w:tc>
          <w:tcPr>
            <w:tcW w:w="1734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4F81BD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Unknown</w:t>
            </w:r>
          </w:p>
        </w:tc>
        <w:tc>
          <w:tcPr>
            <w:tcW w:w="1440" w:type="dxa"/>
            <w:tcBorders>
              <w:top w:val="single" w:sz="6" w:space="0" w:color="4F81BD"/>
              <w:left w:val="single" w:sz="6" w:space="0" w:color="4F81BD"/>
              <w:bottom w:val="single" w:sz="6" w:space="0" w:color="376092"/>
              <w:right w:val="single" w:sz="6" w:space="0" w:color="376092"/>
            </w:tcBorders>
            <w:shd w:val="clear" w:color="auto" w:fill="FFFFFF"/>
            <w:vAlign w:val="center"/>
          </w:tcPr>
          <w:p w:rsidR="00025E1C" w:rsidRPr="002C75B8" w:rsidRDefault="00025E1C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sz w:val="22"/>
                <w:lang w:val="en-US"/>
              </w:rPr>
              <w:t>Unknown</w:t>
            </w:r>
          </w:p>
        </w:tc>
      </w:tr>
    </w:tbl>
    <w:p w:rsidR="00025E1C" w:rsidRPr="002C75B8" w:rsidRDefault="00025E1C" w:rsidP="00025E1C">
      <w:pPr>
        <w:ind w:left="0" w:firstLine="0"/>
        <w:rPr>
          <w:sz w:val="22"/>
        </w:rPr>
      </w:pPr>
    </w:p>
    <w:p w:rsidR="00025E1C" w:rsidRDefault="00025E1C" w:rsidP="00025E1C">
      <w:pPr>
        <w:ind w:left="0" w:firstLine="0"/>
        <w:rPr>
          <w:b/>
          <w:bCs/>
          <w:sz w:val="22"/>
        </w:rPr>
      </w:pPr>
    </w:p>
    <w:p w:rsidR="00025E1C" w:rsidRDefault="00025E1C" w:rsidP="00025E1C">
      <w:pPr>
        <w:ind w:left="0" w:firstLine="0"/>
        <w:rPr>
          <w:b/>
          <w:bCs/>
          <w:sz w:val="22"/>
        </w:rPr>
      </w:pPr>
    </w:p>
    <w:p w:rsidR="00025E1C" w:rsidRDefault="00025E1C" w:rsidP="00025E1C">
      <w:pPr>
        <w:ind w:left="0" w:firstLine="0"/>
        <w:rPr>
          <w:b/>
          <w:bCs/>
          <w:sz w:val="22"/>
        </w:rPr>
      </w:pPr>
    </w:p>
    <w:p w:rsidR="00025E1C" w:rsidRDefault="00025E1C" w:rsidP="00025E1C">
      <w:pPr>
        <w:ind w:left="0" w:firstLine="0"/>
        <w:rPr>
          <w:b/>
          <w:bCs/>
          <w:sz w:val="22"/>
        </w:rPr>
      </w:pPr>
    </w:p>
    <w:p w:rsidR="00025E1C" w:rsidRDefault="00025E1C" w:rsidP="00025E1C">
      <w:pPr>
        <w:ind w:left="0" w:firstLine="0"/>
        <w:rPr>
          <w:b/>
          <w:bCs/>
          <w:sz w:val="22"/>
        </w:rPr>
      </w:pPr>
    </w:p>
    <w:p w:rsidR="00025E1C" w:rsidRPr="002C75B8" w:rsidRDefault="00025E1C" w:rsidP="00025E1C">
      <w:pPr>
        <w:ind w:left="0" w:firstLine="0"/>
        <w:rPr>
          <w:b/>
          <w:bCs/>
          <w:sz w:val="22"/>
        </w:rPr>
      </w:pPr>
    </w:p>
    <w:p w:rsidR="00025E1C" w:rsidRPr="002C75B8" w:rsidRDefault="00025E1C" w:rsidP="00025E1C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MAPS AND TRENDS</w:t>
      </w:r>
    </w:p>
    <w:p w:rsidR="00025E1C" w:rsidRPr="002C75B8" w:rsidRDefault="00025E1C" w:rsidP="00025E1C">
      <w:pPr>
        <w:ind w:left="0" w:firstLine="0"/>
        <w:rPr>
          <w:b/>
          <w:bCs/>
          <w:sz w:val="22"/>
        </w:rPr>
      </w:pPr>
    </w:p>
    <w:p w:rsidR="00025E1C" w:rsidRDefault="00025E1C" w:rsidP="00025E1C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inline distT="0" distB="0" distL="0" distR="0">
            <wp:extent cx="3886200" cy="2451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1C" w:rsidRDefault="00025E1C" w:rsidP="00025E1C">
      <w:pPr>
        <w:ind w:left="0" w:firstLine="0"/>
        <w:rPr>
          <w:sz w:val="22"/>
          <w:lang w:val="en-GB"/>
        </w:rPr>
      </w:pPr>
    </w:p>
    <w:p w:rsidR="00025E1C" w:rsidRDefault="00025E1C" w:rsidP="00025E1C">
      <w:pPr>
        <w:ind w:left="0" w:firstLine="0"/>
        <w:rPr>
          <w:sz w:val="22"/>
          <w:lang w:val="en-GB"/>
        </w:rPr>
      </w:pPr>
    </w:p>
    <w:p w:rsidR="00025E1C" w:rsidRDefault="00025E1C" w:rsidP="00025E1C">
      <w:pPr>
        <w:ind w:left="0" w:firstLine="0"/>
        <w:rPr>
          <w:b/>
          <w:bCs/>
          <w:sz w:val="22"/>
          <w:lang w:val="en-US"/>
        </w:rPr>
      </w:pPr>
      <w:r w:rsidRPr="00B67738">
        <w:rPr>
          <w:rFonts w:eastAsia="Times New Roman"/>
          <w:b/>
          <w:bCs/>
          <w:sz w:val="22"/>
          <w:lang w:val="en-GB" w:eastAsia="es-ES"/>
        </w:rPr>
        <w:t>CONTROL</w:t>
      </w:r>
      <w:r>
        <w:rPr>
          <w:rFonts w:eastAsia="Times New Roman"/>
          <w:b/>
          <w:bCs/>
          <w:sz w:val="22"/>
          <w:lang w:val="en-GB" w:eastAsia="es-ES"/>
        </w:rPr>
        <w:t xml:space="preserve">, </w:t>
      </w:r>
      <w:r w:rsidRPr="002C75B8">
        <w:rPr>
          <w:b/>
          <w:sz w:val="22"/>
          <w:lang w:val="en-US"/>
        </w:rPr>
        <w:t>DIAGNOSIS, TREATMENT &amp; OUTCOMES</w:t>
      </w:r>
      <w:r>
        <w:rPr>
          <w:b/>
          <w:sz w:val="22"/>
          <w:lang w:val="en-US"/>
        </w:rPr>
        <w:t xml:space="preserve">, </w:t>
      </w:r>
      <w:r w:rsidRPr="002C75B8">
        <w:rPr>
          <w:b/>
          <w:bCs/>
          <w:sz w:val="22"/>
          <w:lang w:val="en-US"/>
        </w:rPr>
        <w:t>ACCESS TO CARE</w:t>
      </w:r>
    </w:p>
    <w:p w:rsidR="00025E1C" w:rsidRPr="002C75B8" w:rsidRDefault="00025E1C" w:rsidP="00025E1C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 </w:t>
      </w:r>
    </w:p>
    <w:p w:rsidR="00025E1C" w:rsidRPr="00B67738" w:rsidRDefault="00025E1C" w:rsidP="00025E1C">
      <w:pPr>
        <w:ind w:left="0" w:firstLine="0"/>
        <w:rPr>
          <w:rFonts w:eastAsia="Times New Roman"/>
          <w:sz w:val="22"/>
          <w:lang w:val="en-GB" w:eastAsia="es-ES"/>
        </w:rPr>
      </w:pPr>
      <w:r w:rsidRPr="00B67738">
        <w:rPr>
          <w:rFonts w:eastAsia="Times New Roman"/>
          <w:sz w:val="22"/>
          <w:lang w:val="en-GB" w:eastAsia="es-ES"/>
        </w:rPr>
        <w:t>No information available</w:t>
      </w:r>
      <w:r>
        <w:rPr>
          <w:rFonts w:eastAsia="Times New Roman"/>
          <w:sz w:val="22"/>
          <w:lang w:val="en-GB" w:eastAsia="es-ES"/>
        </w:rPr>
        <w:t>.</w:t>
      </w:r>
    </w:p>
    <w:p w:rsidR="00025E1C" w:rsidRPr="00B67738" w:rsidRDefault="00025E1C" w:rsidP="00025E1C">
      <w:pPr>
        <w:spacing w:line="360" w:lineRule="auto"/>
        <w:ind w:left="0" w:firstLine="0"/>
        <w:rPr>
          <w:sz w:val="22"/>
          <w:lang w:val="en-GB"/>
        </w:rPr>
      </w:pPr>
    </w:p>
    <w:p w:rsidR="00025E1C" w:rsidRPr="00B67738" w:rsidRDefault="00025E1C" w:rsidP="00025E1C">
      <w:pPr>
        <w:ind w:left="0" w:firstLine="0"/>
        <w:rPr>
          <w:sz w:val="22"/>
          <w:lang w:val="en-GB"/>
        </w:rPr>
      </w:pPr>
    </w:p>
    <w:p w:rsidR="00025E1C" w:rsidRPr="00B67738" w:rsidRDefault="00025E1C" w:rsidP="00025E1C">
      <w:pPr>
        <w:ind w:left="0" w:firstLine="0"/>
        <w:rPr>
          <w:sz w:val="22"/>
          <w:lang w:val="en-GB"/>
        </w:rPr>
      </w:pPr>
      <w:r w:rsidRPr="00B67738">
        <w:rPr>
          <w:b/>
          <w:sz w:val="22"/>
          <w:lang w:val="en-GB"/>
        </w:rPr>
        <w:t>ACCESS TO DRUGS</w:t>
      </w:r>
      <w:r w:rsidRPr="00B67738">
        <w:rPr>
          <w:sz w:val="22"/>
          <w:lang w:val="en-GB"/>
        </w:rPr>
        <w:t xml:space="preserve"> </w:t>
      </w:r>
    </w:p>
    <w:p w:rsidR="00025E1C" w:rsidRPr="00B67738" w:rsidRDefault="00025E1C" w:rsidP="00025E1C">
      <w:pPr>
        <w:ind w:left="0" w:firstLine="0"/>
        <w:rPr>
          <w:sz w:val="22"/>
          <w:lang w:val="en-GB"/>
        </w:rPr>
      </w:pPr>
    </w:p>
    <w:p w:rsidR="00025E1C" w:rsidRPr="00B67738" w:rsidRDefault="00025E1C" w:rsidP="00025E1C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No </w:t>
      </w:r>
      <w:r>
        <w:rPr>
          <w:sz w:val="22"/>
          <w:lang w:val="en-US"/>
        </w:rPr>
        <w:t xml:space="preserve">medicines for leishmaniasis </w:t>
      </w:r>
      <w:r w:rsidRPr="002C75B8">
        <w:rPr>
          <w:sz w:val="22"/>
          <w:lang w:val="en-US"/>
        </w:rPr>
        <w:t>are registered</w:t>
      </w:r>
      <w:r>
        <w:rPr>
          <w:sz w:val="22"/>
          <w:lang w:val="en-US"/>
        </w:rPr>
        <w:t>.</w:t>
      </w:r>
    </w:p>
    <w:p w:rsidR="00025E1C" w:rsidRPr="002C75B8" w:rsidRDefault="00025E1C" w:rsidP="00025E1C">
      <w:pPr>
        <w:ind w:left="0" w:firstLine="0"/>
        <w:rPr>
          <w:sz w:val="22"/>
          <w:lang w:val="en-US"/>
        </w:rPr>
      </w:pPr>
    </w:p>
    <w:p w:rsidR="00025E1C" w:rsidRPr="002C75B8" w:rsidRDefault="00025E1C" w:rsidP="00025E1C">
      <w:pPr>
        <w:ind w:left="0" w:firstLine="0"/>
        <w:rPr>
          <w:sz w:val="22"/>
          <w:lang w:val="en-US"/>
        </w:rPr>
      </w:pPr>
    </w:p>
    <w:p w:rsidR="00025E1C" w:rsidRPr="00262C9B" w:rsidRDefault="00025E1C" w:rsidP="00025E1C">
      <w:pPr>
        <w:ind w:left="0" w:firstLine="0"/>
        <w:rPr>
          <w:sz w:val="22"/>
          <w:lang w:val="nl-NL"/>
        </w:rPr>
      </w:pPr>
      <w:r w:rsidRPr="00262C9B">
        <w:rPr>
          <w:b/>
          <w:sz w:val="22"/>
          <w:lang w:val="nl-NL"/>
        </w:rPr>
        <w:t>SOURCES OF INFORMATION</w:t>
      </w:r>
    </w:p>
    <w:p w:rsidR="00025E1C" w:rsidRDefault="00025E1C" w:rsidP="00025E1C">
      <w:pPr>
        <w:ind w:left="0" w:firstLine="0"/>
        <w:rPr>
          <w:sz w:val="22"/>
          <w:lang w:val="nl-NL"/>
        </w:rPr>
      </w:pPr>
    </w:p>
    <w:p w:rsidR="00025E1C" w:rsidRPr="00CC5633" w:rsidRDefault="00025E1C" w:rsidP="00025E1C">
      <w:pPr>
        <w:ind w:left="0" w:firstLine="0"/>
        <w:rPr>
          <w:sz w:val="22"/>
          <w:lang w:val="nl-NL"/>
        </w:rPr>
      </w:pPr>
    </w:p>
    <w:p w:rsidR="00025E1C" w:rsidRPr="00B37375" w:rsidRDefault="00025E1C" w:rsidP="00025E1C">
      <w:pPr>
        <w:ind w:left="0" w:firstLine="0"/>
        <w:rPr>
          <w:sz w:val="22"/>
          <w:lang w:val="nl-NL"/>
        </w:rPr>
      </w:pPr>
      <w:r w:rsidRPr="00442B3B">
        <w:rPr>
          <w:sz w:val="22"/>
          <w:lang w:val="nl-NL"/>
        </w:rPr>
        <w:t xml:space="preserve">1. </w:t>
      </w:r>
      <w:hyperlink r:id="rId7" w:tgtFrame="_parent" w:history="1">
        <w:r w:rsidRPr="002C75B8">
          <w:rPr>
            <w:sz w:val="22"/>
            <w:lang w:val="nl-NL"/>
          </w:rPr>
          <w:t>Gigase P</w:t>
        </w:r>
      </w:hyperlink>
      <w:r w:rsidRPr="002C75B8">
        <w:rPr>
          <w:sz w:val="22"/>
          <w:lang w:val="nl-NL"/>
        </w:rPr>
        <w:t xml:space="preserve">, </w:t>
      </w:r>
      <w:hyperlink r:id="rId8" w:tgtFrame="_parent" w:history="1">
        <w:r w:rsidRPr="002C75B8">
          <w:rPr>
            <w:sz w:val="22"/>
            <w:lang w:val="nl-NL"/>
          </w:rPr>
          <w:t>Moens F</w:t>
        </w:r>
      </w:hyperlink>
      <w:r w:rsidRPr="002C75B8">
        <w:rPr>
          <w:sz w:val="22"/>
          <w:lang w:val="nl-NL"/>
        </w:rPr>
        <w:t xml:space="preserve">, </w:t>
      </w:r>
      <w:hyperlink r:id="rId9" w:tgtFrame="_parent" w:history="1">
        <w:r w:rsidRPr="002C75B8">
          <w:rPr>
            <w:sz w:val="22"/>
            <w:lang w:val="nl-NL"/>
          </w:rPr>
          <w:t>Van Emelen J</w:t>
        </w:r>
      </w:hyperlink>
      <w:r w:rsidRPr="002C75B8">
        <w:rPr>
          <w:sz w:val="22"/>
          <w:lang w:val="nl-NL"/>
        </w:rPr>
        <w:t xml:space="preserve">, </w:t>
      </w:r>
      <w:hyperlink r:id="rId10" w:tgtFrame="_parent" w:history="1">
        <w:r w:rsidRPr="002C75B8">
          <w:rPr>
            <w:sz w:val="22"/>
            <w:lang w:val="nl-NL"/>
          </w:rPr>
          <w:t>Van Marck E</w:t>
        </w:r>
      </w:hyperlink>
      <w:r w:rsidRPr="002C75B8">
        <w:rPr>
          <w:sz w:val="22"/>
          <w:lang w:val="nl-NL"/>
        </w:rPr>
        <w:t xml:space="preserve">, </w:t>
      </w:r>
      <w:hyperlink r:id="rId11" w:tgtFrame="_parent" w:history="1">
        <w:r w:rsidRPr="002C75B8">
          <w:rPr>
            <w:sz w:val="22"/>
            <w:lang w:val="nl-NL"/>
          </w:rPr>
          <w:t>Van Mullem J</w:t>
        </w:r>
      </w:hyperlink>
      <w:r>
        <w:rPr>
          <w:sz w:val="22"/>
          <w:lang w:val="en-US"/>
        </w:rPr>
        <w:t xml:space="preserve"> (1978)</w:t>
      </w:r>
      <w:r w:rsidRPr="002C75B8">
        <w:rPr>
          <w:sz w:val="22"/>
          <w:lang w:val="nl-NL"/>
        </w:rPr>
        <w:t xml:space="preserve">. </w:t>
      </w:r>
      <w:r w:rsidRPr="00B37375">
        <w:rPr>
          <w:sz w:val="22"/>
          <w:lang w:val="nl-NL"/>
        </w:rPr>
        <w:t>Autochtonous visceral leishmaniasis in Zaire. Ann Soc Belg Med Trop</w:t>
      </w:r>
      <w:r>
        <w:rPr>
          <w:sz w:val="22"/>
          <w:lang w:val="nl-NL"/>
        </w:rPr>
        <w:t xml:space="preserve"> </w:t>
      </w:r>
      <w:r w:rsidRPr="00B37375">
        <w:rPr>
          <w:sz w:val="22"/>
          <w:lang w:val="nl-NL"/>
        </w:rPr>
        <w:t>58(3):235-40.</w:t>
      </w:r>
    </w:p>
    <w:p w:rsidR="00025E1C" w:rsidRPr="00B37375" w:rsidRDefault="00025E1C" w:rsidP="00025E1C">
      <w:pPr>
        <w:ind w:left="0" w:firstLine="0"/>
        <w:rPr>
          <w:sz w:val="22"/>
          <w:lang w:val="nl-NL"/>
        </w:rPr>
      </w:pPr>
    </w:p>
    <w:p w:rsidR="002F7C1A" w:rsidRDefault="002F7C1A" w:rsidP="00025E1C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5E1C"/>
    <w:rsid w:val="000028F1"/>
    <w:rsid w:val="00010242"/>
    <w:rsid w:val="00025E1C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1C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1C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Moens%20F%22%5BAuthor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Gigase%20P%22%5BAuthor%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Van%20Mullem%20J%22%5BAuthor%5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?term=%22Van%20Marck%20E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Van%20Emelen%20J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2012-04-01T20:16:00Z</dcterms:created>
  <dcterms:modified xsi:type="dcterms:W3CDTF">2012-04-01T20:17:00Z</dcterms:modified>
</cp:coreProperties>
</file>