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4B" w:rsidRPr="002C75B8" w:rsidRDefault="005D294B" w:rsidP="005D294B">
      <w:pPr>
        <w:ind w:left="0"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CÔTE </w:t>
      </w:r>
      <w:proofErr w:type="spellStart"/>
      <w:r>
        <w:rPr>
          <w:b/>
          <w:sz w:val="22"/>
          <w:u w:val="single"/>
        </w:rPr>
        <w:t>d'IVOIRE</w:t>
      </w:r>
      <w:proofErr w:type="spellEnd"/>
    </w:p>
    <w:p w:rsidR="005D294B" w:rsidRPr="002C75B8" w:rsidRDefault="005D294B" w:rsidP="005D294B">
      <w:pPr>
        <w:ind w:left="0" w:firstLine="0"/>
        <w:rPr>
          <w:b/>
          <w:sz w:val="22"/>
          <w:u w:val="single"/>
        </w:rPr>
      </w:pPr>
    </w:p>
    <w:p w:rsidR="005D294B" w:rsidRPr="002C75B8" w:rsidRDefault="005D294B" w:rsidP="005D294B">
      <w:pPr>
        <w:ind w:left="0" w:firstLine="0"/>
        <w:rPr>
          <w:sz w:val="22"/>
          <w:lang w:val="en-US"/>
        </w:rPr>
      </w:pPr>
      <w:r>
        <w:rPr>
          <w:noProof/>
          <w:sz w:val="22"/>
          <w:lang w:val="en-US"/>
        </w:rPr>
        <w:drawing>
          <wp:inline distT="0" distB="0" distL="0" distR="0">
            <wp:extent cx="2560320" cy="1717675"/>
            <wp:effectExtent l="19050" t="0" r="0" b="0"/>
            <wp:docPr id="1" name="Imagen 22" descr="CI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CI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94B" w:rsidRPr="002C75B8" w:rsidRDefault="005D294B" w:rsidP="005D294B">
      <w:pPr>
        <w:ind w:left="0" w:firstLine="0"/>
        <w:rPr>
          <w:b/>
          <w:sz w:val="22"/>
          <w:lang w:val="en-US"/>
        </w:rPr>
      </w:pPr>
    </w:p>
    <w:p w:rsidR="005D294B" w:rsidRPr="002C75B8" w:rsidRDefault="005D294B" w:rsidP="005D294B">
      <w:pPr>
        <w:ind w:left="0" w:firstLine="0"/>
        <w:rPr>
          <w:b/>
          <w:sz w:val="22"/>
          <w:lang w:val="en-US"/>
        </w:rPr>
      </w:pPr>
    </w:p>
    <w:p w:rsidR="005D294B" w:rsidRPr="002C75B8" w:rsidRDefault="005D294B" w:rsidP="005D294B">
      <w:pPr>
        <w:ind w:left="0" w:firstLine="0"/>
        <w:rPr>
          <w:color w:val="FF0000"/>
          <w:sz w:val="22"/>
          <w:lang w:val="en-US"/>
        </w:rPr>
      </w:pPr>
      <w:r w:rsidRPr="00463FE2">
        <w:rPr>
          <w:b/>
          <w:sz w:val="22"/>
          <w:lang w:val="en-GB"/>
        </w:rPr>
        <w:t xml:space="preserve">BASIC COUNTRY DATA </w:t>
      </w:r>
    </w:p>
    <w:p w:rsidR="005D294B" w:rsidRPr="00B2041A" w:rsidRDefault="005D294B" w:rsidP="005D294B">
      <w:pPr>
        <w:ind w:left="0" w:firstLine="0"/>
        <w:rPr>
          <w:sz w:val="22"/>
          <w:lang w:val="en-US"/>
        </w:rPr>
      </w:pPr>
    </w:p>
    <w:p w:rsidR="005D294B" w:rsidRPr="00B2041A" w:rsidRDefault="005D294B" w:rsidP="005D294B">
      <w:pPr>
        <w:ind w:left="0" w:firstLine="0"/>
        <w:rPr>
          <w:sz w:val="22"/>
          <w:lang w:val="en-US"/>
        </w:rPr>
      </w:pPr>
      <w:r w:rsidRPr="00B2041A">
        <w:rPr>
          <w:sz w:val="22"/>
          <w:lang w:val="en-US"/>
        </w:rPr>
        <w:t xml:space="preserve">Total Population: </w:t>
      </w:r>
      <w:r>
        <w:rPr>
          <w:sz w:val="22"/>
          <w:lang w:val="en-US"/>
        </w:rPr>
        <w:t>19,737,800</w:t>
      </w:r>
    </w:p>
    <w:p w:rsidR="005D294B" w:rsidRPr="00B2041A" w:rsidRDefault="005D294B" w:rsidP="005D294B">
      <w:pPr>
        <w:ind w:left="0" w:firstLine="0"/>
        <w:rPr>
          <w:sz w:val="22"/>
          <w:lang w:val="en-US"/>
        </w:rPr>
      </w:pPr>
      <w:r w:rsidRPr="00B2041A">
        <w:rPr>
          <w:sz w:val="22"/>
          <w:lang w:val="en-US"/>
        </w:rPr>
        <w:t>Population 0-14 years: 41%</w:t>
      </w:r>
    </w:p>
    <w:p w:rsidR="005D294B" w:rsidRPr="00B2041A" w:rsidRDefault="005D294B" w:rsidP="005D294B">
      <w:pPr>
        <w:ind w:left="0" w:firstLine="0"/>
        <w:rPr>
          <w:sz w:val="22"/>
          <w:lang w:val="en-US"/>
        </w:rPr>
      </w:pPr>
      <w:r w:rsidRPr="00B2041A">
        <w:rPr>
          <w:sz w:val="22"/>
          <w:lang w:val="en-US"/>
        </w:rPr>
        <w:t>Rural population: 5</w:t>
      </w:r>
      <w:r>
        <w:rPr>
          <w:sz w:val="22"/>
          <w:lang w:val="en-US"/>
        </w:rPr>
        <w:t>0</w:t>
      </w:r>
      <w:r w:rsidRPr="00B2041A">
        <w:rPr>
          <w:sz w:val="22"/>
          <w:lang w:val="en-US"/>
        </w:rPr>
        <w:t>%</w:t>
      </w:r>
    </w:p>
    <w:p w:rsidR="005D294B" w:rsidRPr="00B2041A" w:rsidRDefault="005D294B" w:rsidP="005D294B">
      <w:pPr>
        <w:ind w:left="0" w:firstLine="0"/>
        <w:rPr>
          <w:sz w:val="22"/>
          <w:lang w:val="en-US"/>
        </w:rPr>
      </w:pPr>
      <w:r w:rsidRPr="00B2041A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B2041A">
        <w:rPr>
          <w:sz w:val="22"/>
          <w:lang w:val="en-US"/>
        </w:rPr>
        <w:t>25 a day: 23</w:t>
      </w:r>
      <w:r>
        <w:rPr>
          <w:sz w:val="22"/>
          <w:lang w:val="en-US"/>
        </w:rPr>
        <w:t>.8</w:t>
      </w:r>
      <w:r w:rsidRPr="00B2041A">
        <w:rPr>
          <w:sz w:val="22"/>
          <w:lang w:val="en-US"/>
        </w:rPr>
        <w:t>%</w:t>
      </w:r>
    </w:p>
    <w:p w:rsidR="005D294B" w:rsidRPr="00B2041A" w:rsidRDefault="005D294B" w:rsidP="005D294B">
      <w:pPr>
        <w:ind w:left="0" w:firstLine="0"/>
        <w:rPr>
          <w:sz w:val="22"/>
          <w:lang w:val="en-US"/>
        </w:rPr>
      </w:pPr>
      <w:r w:rsidRPr="00B2041A">
        <w:rPr>
          <w:sz w:val="22"/>
          <w:lang w:val="en-US"/>
        </w:rPr>
        <w:t>Population living under the national poverty line: 42</w:t>
      </w:r>
      <w:r>
        <w:rPr>
          <w:sz w:val="22"/>
          <w:lang w:val="en-US"/>
        </w:rPr>
        <w:t>.</w:t>
      </w:r>
      <w:r w:rsidRPr="00B2041A">
        <w:rPr>
          <w:sz w:val="22"/>
          <w:lang w:val="en-US"/>
        </w:rPr>
        <w:t>7%</w:t>
      </w:r>
    </w:p>
    <w:p w:rsidR="005D294B" w:rsidRPr="00B2041A" w:rsidRDefault="005D294B" w:rsidP="005D294B">
      <w:pPr>
        <w:ind w:left="0" w:firstLine="0"/>
        <w:rPr>
          <w:sz w:val="22"/>
          <w:lang w:val="en-US"/>
        </w:rPr>
      </w:pPr>
      <w:r w:rsidRPr="00B2041A">
        <w:rPr>
          <w:sz w:val="22"/>
          <w:lang w:val="en-US"/>
        </w:rPr>
        <w:t>Income status: Lower middle income</w:t>
      </w:r>
      <w:r>
        <w:rPr>
          <w:sz w:val="22"/>
          <w:lang w:val="en-US"/>
        </w:rPr>
        <w:t xml:space="preserve"> economy</w:t>
      </w:r>
    </w:p>
    <w:p w:rsidR="005D294B" w:rsidRPr="00B2041A" w:rsidRDefault="005D294B" w:rsidP="005D294B">
      <w:pPr>
        <w:ind w:left="0" w:firstLine="0"/>
        <w:rPr>
          <w:sz w:val="22"/>
          <w:lang w:val="en-US"/>
        </w:rPr>
      </w:pPr>
      <w:r w:rsidRPr="00B2041A">
        <w:rPr>
          <w:sz w:val="22"/>
          <w:lang w:val="en-US"/>
        </w:rPr>
        <w:t xml:space="preserve">Ranking: </w:t>
      </w:r>
      <w:r>
        <w:rPr>
          <w:sz w:val="22"/>
          <w:lang w:val="en-US"/>
        </w:rPr>
        <w:t>L</w:t>
      </w:r>
      <w:r w:rsidRPr="00B2041A">
        <w:rPr>
          <w:sz w:val="22"/>
          <w:lang w:val="en-US"/>
        </w:rPr>
        <w:t>ow human development (ranking 1</w:t>
      </w:r>
      <w:r>
        <w:rPr>
          <w:sz w:val="22"/>
          <w:lang w:val="en-US"/>
        </w:rPr>
        <w:t>70</w:t>
      </w:r>
      <w:r w:rsidRPr="00B2041A">
        <w:rPr>
          <w:sz w:val="22"/>
          <w:lang w:val="en-US"/>
        </w:rPr>
        <w:t>)</w:t>
      </w:r>
    </w:p>
    <w:p w:rsidR="005D294B" w:rsidRPr="00B2041A" w:rsidRDefault="005D294B" w:rsidP="005D294B">
      <w:pPr>
        <w:ind w:left="0" w:firstLine="0"/>
        <w:rPr>
          <w:sz w:val="22"/>
          <w:lang w:val="en-US"/>
        </w:rPr>
      </w:pPr>
      <w:r w:rsidRPr="00B2041A">
        <w:rPr>
          <w:sz w:val="22"/>
          <w:lang w:val="en-US"/>
        </w:rPr>
        <w:t xml:space="preserve">Per capita total expenditure on health at average exchange rate (US dollar): </w:t>
      </w:r>
      <w:r w:rsidRPr="00D24EA2">
        <w:rPr>
          <w:sz w:val="22"/>
          <w:lang w:val="en-US"/>
        </w:rPr>
        <w:t>57</w:t>
      </w:r>
    </w:p>
    <w:p w:rsidR="005D294B" w:rsidRPr="00B2041A" w:rsidRDefault="005D294B" w:rsidP="005D294B">
      <w:pPr>
        <w:ind w:left="0" w:firstLine="0"/>
        <w:rPr>
          <w:sz w:val="22"/>
          <w:lang w:val="en-US"/>
        </w:rPr>
      </w:pPr>
      <w:r w:rsidRPr="00B2041A">
        <w:rPr>
          <w:sz w:val="22"/>
          <w:lang w:val="en-US"/>
        </w:rPr>
        <w:t>Life expectancy at birth (years): 5</w:t>
      </w:r>
      <w:r>
        <w:rPr>
          <w:sz w:val="22"/>
          <w:lang w:val="en-US"/>
        </w:rPr>
        <w:t>4</w:t>
      </w:r>
    </w:p>
    <w:p w:rsidR="005D294B" w:rsidRPr="00B2041A" w:rsidRDefault="005D294B" w:rsidP="005D294B">
      <w:pPr>
        <w:ind w:left="0" w:firstLine="0"/>
        <w:rPr>
          <w:sz w:val="22"/>
          <w:lang w:val="en-US"/>
        </w:rPr>
      </w:pPr>
      <w:r w:rsidRPr="00B2041A">
        <w:rPr>
          <w:sz w:val="22"/>
          <w:lang w:val="en-US"/>
        </w:rPr>
        <w:t>Healthy life expectancy at birth (years): 39</w:t>
      </w:r>
    </w:p>
    <w:p w:rsidR="005D294B" w:rsidRDefault="005D294B" w:rsidP="005D294B">
      <w:pPr>
        <w:ind w:left="0" w:firstLine="0"/>
        <w:rPr>
          <w:b/>
          <w:sz w:val="22"/>
          <w:lang w:val="en-US"/>
        </w:rPr>
      </w:pPr>
    </w:p>
    <w:p w:rsidR="005D294B" w:rsidRPr="002C75B8" w:rsidRDefault="005D294B" w:rsidP="005D294B">
      <w:pPr>
        <w:ind w:left="0" w:firstLine="0"/>
        <w:rPr>
          <w:b/>
          <w:sz w:val="22"/>
          <w:lang w:val="en-US"/>
        </w:rPr>
      </w:pPr>
    </w:p>
    <w:p w:rsidR="005D294B" w:rsidRPr="002C75B8" w:rsidRDefault="005D294B" w:rsidP="005D294B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BACKGROUND INFORMATION</w:t>
      </w:r>
    </w:p>
    <w:p w:rsidR="005D294B" w:rsidRPr="002C75B8" w:rsidRDefault="005D294B" w:rsidP="005D294B">
      <w:pPr>
        <w:ind w:left="0" w:firstLine="0"/>
        <w:rPr>
          <w:sz w:val="22"/>
          <w:lang w:val="en-US"/>
        </w:rPr>
      </w:pPr>
    </w:p>
    <w:p w:rsidR="005D294B" w:rsidRPr="000B40E3" w:rsidRDefault="005D294B" w:rsidP="005D294B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Although Ivory Coast is part of a proposed CL </w:t>
      </w:r>
      <w:proofErr w:type="spellStart"/>
      <w:r w:rsidRPr="002C75B8">
        <w:rPr>
          <w:sz w:val="22"/>
          <w:lang w:val="en-US"/>
        </w:rPr>
        <w:t>endemicity</w:t>
      </w:r>
      <w:proofErr w:type="spellEnd"/>
      <w:r w:rsidRPr="002C75B8">
        <w:rPr>
          <w:sz w:val="22"/>
          <w:lang w:val="en-US"/>
        </w:rPr>
        <w:t xml:space="preserve"> belt</w:t>
      </w:r>
      <w:r>
        <w:rPr>
          <w:sz w:val="22"/>
          <w:lang w:val="en-US"/>
        </w:rPr>
        <w:t xml:space="preserve"> </w:t>
      </w:r>
      <w:r w:rsidRPr="002C75B8">
        <w:rPr>
          <w:sz w:val="22"/>
          <w:lang w:val="en-US"/>
        </w:rPr>
        <w:t xml:space="preserve">running across West Africa, both VL and CL </w:t>
      </w:r>
      <w:r>
        <w:rPr>
          <w:sz w:val="22"/>
          <w:lang w:val="en-US"/>
        </w:rPr>
        <w:t>have been</w:t>
      </w:r>
      <w:r w:rsidRPr="002C75B8">
        <w:rPr>
          <w:sz w:val="22"/>
          <w:lang w:val="en-US"/>
        </w:rPr>
        <w:t xml:space="preserve"> very sporadically reported in the last 15 years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 </w:t>
      </w:r>
      <w:r>
        <w:rPr>
          <w:sz w:val="22"/>
          <w:lang w:val="en-US"/>
        </w:rPr>
        <w:t>O</w:t>
      </w:r>
      <w:r w:rsidRPr="002C75B8">
        <w:rPr>
          <w:sz w:val="22"/>
          <w:lang w:val="en-US"/>
        </w:rPr>
        <w:t>nly 11 cases of VL</w:t>
      </w:r>
      <w:r>
        <w:rPr>
          <w:sz w:val="22"/>
          <w:lang w:val="en-US"/>
        </w:rPr>
        <w:t>, and n</w:t>
      </w:r>
      <w:r w:rsidRPr="002C75B8">
        <w:rPr>
          <w:sz w:val="22"/>
          <w:lang w:val="en-US"/>
        </w:rPr>
        <w:t>o CL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w</w:t>
      </w:r>
      <w:r>
        <w:rPr>
          <w:sz w:val="22"/>
          <w:lang w:val="en-US"/>
        </w:rPr>
        <w:t>ere</w:t>
      </w:r>
      <w:r w:rsidRPr="002C75B8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reported between 1965 and 1993 </w:t>
      </w:r>
      <w:r>
        <w:rPr>
          <w:sz w:val="22"/>
          <w:lang w:val="en-US"/>
        </w:rPr>
        <w:t>and from 1995 to 2008, a further 4 VL cases and 5 CL cases were reported</w:t>
      </w:r>
      <w:r>
        <w:rPr>
          <w:sz w:val="22"/>
          <w:lang w:val="en-US"/>
        </w:rPr>
        <w:t xml:space="preserve">. </w:t>
      </w:r>
      <w:r w:rsidRPr="002C75B8">
        <w:rPr>
          <w:sz w:val="22"/>
          <w:lang w:val="en-US"/>
        </w:rPr>
        <w:t xml:space="preserve">Endemic areas are difficult to determine as </w:t>
      </w:r>
      <w:r>
        <w:rPr>
          <w:sz w:val="22"/>
          <w:lang w:val="en-US"/>
        </w:rPr>
        <w:t xml:space="preserve">patients' locations </w:t>
      </w:r>
      <w:r w:rsidRPr="002C75B8">
        <w:rPr>
          <w:sz w:val="22"/>
          <w:lang w:val="en-US"/>
        </w:rPr>
        <w:t xml:space="preserve">are often imprecise and diagnostic facilities are not present outside of Abidjan and Bouake region. 89% of cases are </w:t>
      </w:r>
      <w:proofErr w:type="spellStart"/>
      <w:r>
        <w:rPr>
          <w:sz w:val="22"/>
          <w:lang w:val="en-US"/>
        </w:rPr>
        <w:t>autochtonous</w:t>
      </w:r>
      <w:proofErr w:type="spellEnd"/>
      <w:r w:rsidRPr="002C75B8">
        <w:rPr>
          <w:sz w:val="22"/>
          <w:lang w:val="en-US"/>
        </w:rPr>
        <w:t xml:space="preserve">. 44% of </w:t>
      </w:r>
      <w:r>
        <w:rPr>
          <w:sz w:val="22"/>
          <w:lang w:val="en-US"/>
        </w:rPr>
        <w:t xml:space="preserve">the </w:t>
      </w:r>
      <w:r w:rsidRPr="002C75B8">
        <w:rPr>
          <w:sz w:val="22"/>
          <w:lang w:val="en-US"/>
        </w:rPr>
        <w:t xml:space="preserve">reported cases are coinfected with </w:t>
      </w:r>
      <w:r w:rsidRPr="002F2F3C">
        <w:rPr>
          <w:sz w:val="22"/>
          <w:lang w:val="en-US"/>
        </w:rPr>
        <w:t xml:space="preserve">HIV. VL was documented in 5 individuals, </w:t>
      </w:r>
      <w:r>
        <w:rPr>
          <w:sz w:val="22"/>
          <w:lang w:val="en-US"/>
        </w:rPr>
        <w:t xml:space="preserve">2 </w:t>
      </w:r>
      <w:r w:rsidRPr="002F2F3C">
        <w:rPr>
          <w:sz w:val="22"/>
          <w:lang w:val="en-US"/>
        </w:rPr>
        <w:t xml:space="preserve">of which were </w:t>
      </w:r>
      <w:proofErr w:type="spellStart"/>
      <w:r w:rsidRPr="002F2F3C">
        <w:rPr>
          <w:sz w:val="22"/>
          <w:lang w:val="en-US"/>
        </w:rPr>
        <w:t>immunosuppressed</w:t>
      </w:r>
      <w:proofErr w:type="spellEnd"/>
      <w:r w:rsidRPr="002F2F3C">
        <w:rPr>
          <w:sz w:val="22"/>
          <w:lang w:val="en-US"/>
        </w:rPr>
        <w:t>, one was HIV infected and one was under</w:t>
      </w:r>
      <w:r>
        <w:rPr>
          <w:sz w:val="22"/>
          <w:lang w:val="en-US"/>
        </w:rPr>
        <w:t xml:space="preserve"> the age of</w:t>
      </w:r>
      <w:r w:rsidRPr="002F2F3C">
        <w:rPr>
          <w:sz w:val="22"/>
          <w:lang w:val="en-US"/>
        </w:rPr>
        <w:t xml:space="preserve"> 5</w:t>
      </w:r>
      <w:r>
        <w:rPr>
          <w:sz w:val="22"/>
          <w:lang w:val="en-US"/>
        </w:rPr>
        <w:t xml:space="preserve"> [1</w:t>
      </w:r>
      <w:proofErr w:type="gramStart"/>
      <w:r>
        <w:rPr>
          <w:sz w:val="22"/>
          <w:lang w:val="en-US"/>
        </w:rPr>
        <w:t>,2</w:t>
      </w:r>
      <w:proofErr w:type="gramEnd"/>
      <w:r>
        <w:rPr>
          <w:sz w:val="22"/>
          <w:lang w:val="en-US"/>
        </w:rPr>
        <w:t>].</w:t>
      </w:r>
    </w:p>
    <w:p w:rsidR="005D294B" w:rsidRPr="002F2F3C" w:rsidRDefault="005D294B" w:rsidP="005D294B">
      <w:pPr>
        <w:ind w:left="0" w:firstLine="0"/>
        <w:rPr>
          <w:sz w:val="22"/>
          <w:lang w:val="en-US"/>
        </w:rPr>
      </w:pPr>
    </w:p>
    <w:p w:rsidR="005D294B" w:rsidRPr="002C75B8" w:rsidRDefault="005D294B" w:rsidP="005D294B">
      <w:pPr>
        <w:ind w:left="0" w:firstLine="0"/>
        <w:rPr>
          <w:color w:val="FF0000"/>
          <w:sz w:val="22"/>
          <w:lang w:val="en-US"/>
        </w:rPr>
      </w:pPr>
      <w:r w:rsidRPr="002C75B8">
        <w:rPr>
          <w:sz w:val="22"/>
          <w:lang w:val="en-US"/>
        </w:rPr>
        <w:t xml:space="preserve">Both VL and CL may occur regularly and go unreported, due to a lack of diagnostic facilities and </w:t>
      </w:r>
      <w:r>
        <w:rPr>
          <w:sz w:val="22"/>
          <w:lang w:val="en-US"/>
        </w:rPr>
        <w:t xml:space="preserve">a lack of </w:t>
      </w:r>
      <w:r w:rsidRPr="002C75B8">
        <w:rPr>
          <w:sz w:val="22"/>
          <w:lang w:val="en-US"/>
        </w:rPr>
        <w:t xml:space="preserve">awareness among health personnel. </w:t>
      </w:r>
    </w:p>
    <w:p w:rsidR="005D294B" w:rsidRPr="002C75B8" w:rsidRDefault="005D294B" w:rsidP="005D294B">
      <w:pPr>
        <w:spacing w:line="60" w:lineRule="atLeast"/>
        <w:ind w:left="0" w:firstLine="0"/>
        <w:rPr>
          <w:sz w:val="22"/>
          <w:lang w:val="en-US"/>
        </w:rPr>
      </w:pPr>
    </w:p>
    <w:p w:rsidR="005D294B" w:rsidRPr="002C75B8" w:rsidRDefault="005D294B" w:rsidP="005D294B">
      <w:pPr>
        <w:ind w:left="0" w:firstLine="0"/>
        <w:rPr>
          <w:sz w:val="22"/>
          <w:lang w:val="en-US"/>
        </w:rPr>
      </w:pPr>
    </w:p>
    <w:p w:rsidR="005D294B" w:rsidRDefault="005D294B" w:rsidP="005D294B">
      <w:pPr>
        <w:ind w:left="0" w:firstLine="0"/>
        <w:rPr>
          <w:b/>
          <w:sz w:val="22"/>
          <w:lang w:val="en-GB"/>
        </w:rPr>
      </w:pPr>
      <w:r w:rsidRPr="002C75B8">
        <w:rPr>
          <w:b/>
          <w:sz w:val="22"/>
          <w:lang w:val="en-GB"/>
        </w:rPr>
        <w:t>PARASITOLOGICAL INFORMATION</w:t>
      </w:r>
    </w:p>
    <w:p w:rsidR="005D294B" w:rsidRPr="002C75B8" w:rsidRDefault="005D294B" w:rsidP="005D294B">
      <w:pPr>
        <w:ind w:left="0" w:firstLine="0"/>
        <w:rPr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5D294B" w:rsidRPr="002C75B8" w:rsidTr="00A7768B">
        <w:tc>
          <w:tcPr>
            <w:tcW w:w="2394" w:type="dxa"/>
            <w:vAlign w:val="center"/>
          </w:tcPr>
          <w:p w:rsidR="005D294B" w:rsidRPr="002C75B8" w:rsidRDefault="005D294B" w:rsidP="00A7768B">
            <w:pPr>
              <w:ind w:left="0" w:firstLine="0"/>
              <w:rPr>
                <w:sz w:val="22"/>
                <w:lang w:val="en-US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394" w:type="dxa"/>
            <w:vAlign w:val="center"/>
          </w:tcPr>
          <w:p w:rsidR="005D294B" w:rsidRPr="002C75B8" w:rsidRDefault="005D294B" w:rsidP="00A7768B">
            <w:pPr>
              <w:ind w:left="0" w:firstLine="0"/>
              <w:rPr>
                <w:b/>
                <w:bCs/>
                <w:sz w:val="22"/>
              </w:rPr>
            </w:pPr>
          </w:p>
          <w:p w:rsidR="005D294B" w:rsidRPr="002C75B8" w:rsidRDefault="005D294B" w:rsidP="00A7768B">
            <w:pPr>
              <w:ind w:left="0" w:firstLine="0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394" w:type="dxa"/>
            <w:vAlign w:val="center"/>
          </w:tcPr>
          <w:p w:rsidR="005D294B" w:rsidRPr="002C75B8" w:rsidRDefault="005D294B" w:rsidP="00A7768B">
            <w:pPr>
              <w:ind w:left="0" w:firstLine="0"/>
              <w:rPr>
                <w:b/>
                <w:bCs/>
                <w:sz w:val="22"/>
              </w:rPr>
            </w:pPr>
          </w:p>
          <w:p w:rsidR="005D294B" w:rsidRPr="002C75B8" w:rsidRDefault="005D294B" w:rsidP="00A7768B">
            <w:pPr>
              <w:ind w:left="0" w:firstLine="0"/>
              <w:rPr>
                <w:sz w:val="22"/>
                <w:lang w:val="en-US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394" w:type="dxa"/>
            <w:vAlign w:val="center"/>
          </w:tcPr>
          <w:p w:rsidR="005D294B" w:rsidRPr="002C75B8" w:rsidRDefault="005D294B" w:rsidP="00A7768B">
            <w:pPr>
              <w:ind w:left="0" w:firstLine="0"/>
              <w:rPr>
                <w:b/>
                <w:bCs/>
                <w:sz w:val="22"/>
              </w:rPr>
            </w:pPr>
          </w:p>
          <w:p w:rsidR="005D294B" w:rsidRPr="002C75B8" w:rsidRDefault="005D294B" w:rsidP="00A7768B">
            <w:pPr>
              <w:ind w:left="0" w:firstLine="0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5D294B" w:rsidRPr="002C75B8" w:rsidTr="00A7768B">
        <w:tc>
          <w:tcPr>
            <w:tcW w:w="2394" w:type="dxa"/>
            <w:vAlign w:val="center"/>
          </w:tcPr>
          <w:p w:rsidR="005D294B" w:rsidRPr="002C75B8" w:rsidRDefault="005D294B" w:rsidP="00A7768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Cambria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  <w:tc>
          <w:tcPr>
            <w:tcW w:w="2394" w:type="dxa"/>
            <w:vAlign w:val="center"/>
          </w:tcPr>
          <w:p w:rsidR="005D294B" w:rsidRPr="002F2F3C" w:rsidRDefault="005D294B" w:rsidP="00A7768B">
            <w:pPr>
              <w:ind w:left="0" w:firstLine="0"/>
            </w:pPr>
            <w:r w:rsidRPr="002C75B8">
              <w:rPr>
                <w:kern w:val="24"/>
              </w:rPr>
              <w:t>VL</w:t>
            </w:r>
            <w:r>
              <w:rPr>
                <w:kern w:val="24"/>
              </w:rPr>
              <w:t>, CL</w:t>
            </w:r>
          </w:p>
        </w:tc>
        <w:tc>
          <w:tcPr>
            <w:tcW w:w="2394" w:type="dxa"/>
            <w:vAlign w:val="center"/>
          </w:tcPr>
          <w:p w:rsidR="005D294B" w:rsidRPr="002C75B8" w:rsidRDefault="005D294B" w:rsidP="00A7768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Cambria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  <w:tc>
          <w:tcPr>
            <w:tcW w:w="2394" w:type="dxa"/>
            <w:vAlign w:val="center"/>
          </w:tcPr>
          <w:p w:rsidR="005D294B" w:rsidRPr="002C75B8" w:rsidRDefault="005D294B" w:rsidP="00A7768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Cambria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</w:tr>
    </w:tbl>
    <w:p w:rsidR="005D294B" w:rsidRPr="002C75B8" w:rsidRDefault="005D294B" w:rsidP="005D294B">
      <w:pPr>
        <w:ind w:left="0" w:firstLine="0"/>
        <w:rPr>
          <w:b/>
          <w:sz w:val="22"/>
          <w:lang w:val="en-US"/>
        </w:rPr>
      </w:pPr>
    </w:p>
    <w:p w:rsidR="005D294B" w:rsidRPr="002C75B8" w:rsidRDefault="005D294B" w:rsidP="005D294B">
      <w:pPr>
        <w:ind w:left="0" w:firstLine="0"/>
        <w:rPr>
          <w:b/>
          <w:sz w:val="22"/>
          <w:lang w:val="en-US"/>
        </w:rPr>
      </w:pPr>
    </w:p>
    <w:p w:rsidR="005D294B" w:rsidRDefault="005D294B" w:rsidP="005D294B">
      <w:pPr>
        <w:ind w:left="0" w:firstLine="0"/>
        <w:rPr>
          <w:b/>
          <w:sz w:val="22"/>
          <w:lang w:val="en-US"/>
        </w:rPr>
      </w:pPr>
    </w:p>
    <w:p w:rsidR="005D294B" w:rsidRPr="002C75B8" w:rsidRDefault="005D294B" w:rsidP="005D294B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MAPS AND TRENDS</w:t>
      </w:r>
    </w:p>
    <w:p w:rsidR="005D294B" w:rsidRDefault="005D294B" w:rsidP="005D294B">
      <w:pPr>
        <w:ind w:left="0" w:firstLine="0"/>
        <w:rPr>
          <w:b/>
          <w:sz w:val="22"/>
          <w:lang w:val="en-US"/>
        </w:rPr>
      </w:pPr>
    </w:p>
    <w:p w:rsidR="005D294B" w:rsidRPr="006D0D6A" w:rsidRDefault="005D294B" w:rsidP="005D294B">
      <w:pPr>
        <w:ind w:left="0" w:firstLine="0"/>
        <w:rPr>
          <w:b/>
          <w:sz w:val="22"/>
          <w:lang w:val="en-US"/>
        </w:rPr>
      </w:pPr>
      <w:r w:rsidRPr="006D0D6A">
        <w:rPr>
          <w:b/>
          <w:sz w:val="22"/>
          <w:lang w:val="en-US"/>
        </w:rPr>
        <w:t>Cutaneous leishmaniasis</w:t>
      </w: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  <w:r>
        <w:rPr>
          <w:bCs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3165475" cy="2239010"/>
            <wp:effectExtent l="19050" t="0" r="0" b="0"/>
            <wp:wrapNone/>
            <wp:docPr id="2" name="Picture 2" descr="CICL-Old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CL-Oldmod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23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89535</wp:posOffset>
            </wp:positionV>
            <wp:extent cx="3077845" cy="2175510"/>
            <wp:effectExtent l="19050" t="0" r="8255" b="0"/>
            <wp:wrapNone/>
            <wp:docPr id="3" name="Picture 3" descr="CICL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CLmo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17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Default="005D294B" w:rsidP="005D294B">
      <w:pPr>
        <w:ind w:left="0" w:firstLine="0"/>
        <w:rPr>
          <w:b/>
          <w:sz w:val="22"/>
          <w:lang w:val="en-US"/>
        </w:rPr>
      </w:pPr>
      <w:r w:rsidRPr="006D0D6A">
        <w:rPr>
          <w:b/>
          <w:sz w:val="22"/>
          <w:lang w:val="en-US"/>
        </w:rPr>
        <w:t>Visceral leishmaniasis</w:t>
      </w:r>
    </w:p>
    <w:p w:rsidR="005D294B" w:rsidRPr="006D0D6A" w:rsidRDefault="005D294B" w:rsidP="005D294B">
      <w:pPr>
        <w:ind w:left="0" w:firstLine="0"/>
        <w:rPr>
          <w:b/>
          <w:sz w:val="22"/>
          <w:lang w:val="en-US"/>
        </w:rPr>
      </w:pPr>
      <w:r>
        <w:rPr>
          <w:bCs/>
          <w:noProof/>
          <w:sz w:val="2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147955</wp:posOffset>
            </wp:positionV>
            <wp:extent cx="3086100" cy="2181860"/>
            <wp:effectExtent l="19050" t="0" r="0" b="0"/>
            <wp:wrapNone/>
            <wp:docPr id="5" name="Picture 5" descr="CIVL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VLm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8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147955</wp:posOffset>
            </wp:positionV>
            <wp:extent cx="3169285" cy="2240280"/>
            <wp:effectExtent l="19050" t="0" r="0" b="0"/>
            <wp:wrapNone/>
            <wp:docPr id="4" name="Picture 4" descr="CIVL-Old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VL-Oldmod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224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Pr="006D0D6A" w:rsidRDefault="005D294B" w:rsidP="005D294B">
      <w:pPr>
        <w:ind w:left="0" w:firstLine="0"/>
        <w:rPr>
          <w:b/>
          <w:sz w:val="22"/>
          <w:lang w:val="en-US"/>
        </w:rPr>
      </w:pPr>
      <w:r w:rsidRPr="006D0D6A">
        <w:rPr>
          <w:b/>
          <w:sz w:val="22"/>
          <w:lang w:val="en-US"/>
        </w:rPr>
        <w:t>Number of cases</w:t>
      </w:r>
    </w:p>
    <w:tbl>
      <w:tblPr>
        <w:tblpPr w:leftFromText="180" w:rightFromText="180" w:vertAnchor="text" w:horzAnchor="margin" w:tblpY="216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5D294B" w:rsidRPr="00221348" w:rsidTr="00A7768B">
        <w:tc>
          <w:tcPr>
            <w:tcW w:w="488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221348">
              <w:rPr>
                <w:b/>
                <w:sz w:val="18"/>
                <w:szCs w:val="18"/>
                <w:lang w:val="en-US"/>
              </w:rPr>
              <w:t>1995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221348">
              <w:rPr>
                <w:b/>
                <w:sz w:val="18"/>
                <w:szCs w:val="18"/>
                <w:lang w:val="en-US"/>
              </w:rPr>
              <w:t>1996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221348">
              <w:rPr>
                <w:b/>
                <w:sz w:val="18"/>
                <w:szCs w:val="18"/>
                <w:lang w:val="en-US"/>
              </w:rPr>
              <w:t>1997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221348">
              <w:rPr>
                <w:b/>
                <w:sz w:val="18"/>
                <w:szCs w:val="18"/>
                <w:lang w:val="en-US"/>
              </w:rPr>
              <w:t>1998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221348">
              <w:rPr>
                <w:b/>
                <w:sz w:val="18"/>
                <w:szCs w:val="18"/>
                <w:lang w:val="en-US"/>
              </w:rPr>
              <w:t>1999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221348">
              <w:rPr>
                <w:b/>
                <w:sz w:val="18"/>
                <w:szCs w:val="18"/>
                <w:lang w:val="en-US"/>
              </w:rPr>
              <w:t>2000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221348">
              <w:rPr>
                <w:b/>
                <w:sz w:val="18"/>
                <w:szCs w:val="18"/>
                <w:lang w:val="en-US"/>
              </w:rPr>
              <w:t>2001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221348">
              <w:rPr>
                <w:b/>
                <w:sz w:val="18"/>
                <w:szCs w:val="18"/>
                <w:lang w:val="en-US"/>
              </w:rPr>
              <w:t>2002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221348">
              <w:rPr>
                <w:b/>
                <w:sz w:val="18"/>
                <w:szCs w:val="18"/>
                <w:lang w:val="en-US"/>
              </w:rPr>
              <w:t>2003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221348">
              <w:rPr>
                <w:b/>
                <w:sz w:val="18"/>
                <w:szCs w:val="18"/>
                <w:lang w:val="en-US"/>
              </w:rPr>
              <w:t>2004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221348">
              <w:rPr>
                <w:b/>
                <w:sz w:val="18"/>
                <w:szCs w:val="18"/>
                <w:lang w:val="en-US"/>
              </w:rPr>
              <w:t>2005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221348">
              <w:rPr>
                <w:b/>
                <w:sz w:val="18"/>
                <w:szCs w:val="18"/>
                <w:lang w:val="en-US"/>
              </w:rPr>
              <w:t>2006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221348">
              <w:rPr>
                <w:b/>
                <w:sz w:val="18"/>
                <w:szCs w:val="18"/>
                <w:lang w:val="en-US"/>
              </w:rPr>
              <w:t>2007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221348">
              <w:rPr>
                <w:b/>
                <w:sz w:val="18"/>
                <w:szCs w:val="18"/>
                <w:lang w:val="en-US"/>
              </w:rPr>
              <w:t>2008</w:t>
            </w:r>
          </w:p>
        </w:tc>
      </w:tr>
      <w:tr w:rsidR="005D294B" w:rsidRPr="00221348" w:rsidTr="00A7768B">
        <w:tc>
          <w:tcPr>
            <w:tcW w:w="488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rPr>
                <w:b/>
                <w:sz w:val="18"/>
                <w:szCs w:val="18"/>
                <w:lang w:val="en-US"/>
              </w:rPr>
            </w:pPr>
            <w:r w:rsidRPr="00221348">
              <w:rPr>
                <w:b/>
                <w:sz w:val="18"/>
                <w:szCs w:val="18"/>
                <w:lang w:val="en-US"/>
              </w:rPr>
              <w:t>VL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221348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221348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221348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221348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221348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221348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221348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221348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221348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221348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221348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221348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221348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221348">
              <w:rPr>
                <w:bCs/>
                <w:sz w:val="18"/>
                <w:szCs w:val="18"/>
                <w:lang w:val="en-US"/>
              </w:rPr>
              <w:t>0</w:t>
            </w:r>
          </w:p>
        </w:tc>
      </w:tr>
      <w:tr w:rsidR="005D294B" w:rsidRPr="00221348" w:rsidTr="00A7768B">
        <w:tc>
          <w:tcPr>
            <w:tcW w:w="488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rPr>
                <w:b/>
                <w:sz w:val="18"/>
                <w:szCs w:val="18"/>
                <w:lang w:val="en-US"/>
              </w:rPr>
            </w:pPr>
            <w:r w:rsidRPr="00221348">
              <w:rPr>
                <w:b/>
                <w:sz w:val="18"/>
                <w:szCs w:val="18"/>
                <w:lang w:val="en-US"/>
              </w:rPr>
              <w:t>CL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221348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221348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221348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221348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221348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221348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221348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221348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221348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221348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221348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221348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221348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7" w:type="dxa"/>
            <w:shd w:val="clear" w:color="auto" w:fill="auto"/>
          </w:tcPr>
          <w:p w:rsidR="005D294B" w:rsidRPr="00221348" w:rsidRDefault="005D294B" w:rsidP="00A7768B">
            <w:pPr>
              <w:spacing w:line="360" w:lineRule="auto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221348">
              <w:rPr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5D294B" w:rsidRPr="007B6612" w:rsidRDefault="005D294B" w:rsidP="005D294B">
      <w:pPr>
        <w:spacing w:line="360" w:lineRule="auto"/>
        <w:rPr>
          <w:sz w:val="22"/>
          <w:lang w:val="en-US"/>
        </w:rPr>
      </w:pPr>
    </w:p>
    <w:p w:rsidR="005D294B" w:rsidRDefault="005D294B" w:rsidP="005D294B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5D294B" w:rsidRPr="002C75B8" w:rsidRDefault="005D294B" w:rsidP="005D294B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  <w:r w:rsidRPr="002C75B8">
        <w:rPr>
          <w:rFonts w:eastAsia="Times New Roman"/>
          <w:b/>
          <w:bCs/>
          <w:sz w:val="22"/>
          <w:lang w:val="en-US" w:eastAsia="es-ES"/>
        </w:rPr>
        <w:t>CONTROL</w:t>
      </w:r>
    </w:p>
    <w:p w:rsidR="005D294B" w:rsidRPr="002C75B8" w:rsidRDefault="005D294B" w:rsidP="005D294B">
      <w:pPr>
        <w:ind w:left="0" w:firstLine="0"/>
        <w:rPr>
          <w:rFonts w:eastAsia="Times New Roman"/>
          <w:sz w:val="22"/>
          <w:lang w:val="en-US" w:eastAsia="es-ES"/>
        </w:rPr>
      </w:pPr>
    </w:p>
    <w:p w:rsidR="005D294B" w:rsidRPr="002C75B8" w:rsidRDefault="005D294B" w:rsidP="005D294B">
      <w:pPr>
        <w:ind w:left="0" w:firstLine="0"/>
        <w:rPr>
          <w:rFonts w:eastAsia="Times New Roman"/>
          <w:sz w:val="22"/>
          <w:lang w:val="en-US" w:eastAsia="es-ES"/>
        </w:rPr>
      </w:pPr>
      <w:r w:rsidRPr="002C75B8">
        <w:rPr>
          <w:rFonts w:eastAsia="Times New Roman"/>
          <w:sz w:val="22"/>
          <w:lang w:val="en-US" w:eastAsia="es-ES"/>
        </w:rPr>
        <w:t xml:space="preserve">The notification of leishmaniasis is not mandatory in the country and there is no national </w:t>
      </w:r>
      <w:r>
        <w:rPr>
          <w:rFonts w:eastAsia="Times New Roman"/>
          <w:sz w:val="22"/>
          <w:lang w:val="en-US" w:eastAsia="es-ES"/>
        </w:rPr>
        <w:t>l</w:t>
      </w:r>
      <w:r w:rsidRPr="002C75B8">
        <w:rPr>
          <w:rFonts w:eastAsia="Times New Roman"/>
          <w:sz w:val="22"/>
          <w:lang w:val="en-US" w:eastAsia="es-ES"/>
        </w:rPr>
        <w:t>eishmaniasis control program. There is no leishmaniasis vector control program and insecticide spraying is not regularly done. There is a no leishmaniasis reservoir control program.</w:t>
      </w:r>
    </w:p>
    <w:p w:rsidR="005D294B" w:rsidRDefault="005D294B" w:rsidP="005D294B">
      <w:pPr>
        <w:ind w:left="0" w:firstLine="0"/>
        <w:rPr>
          <w:rFonts w:eastAsia="Times New Roman"/>
          <w:sz w:val="22"/>
          <w:lang w:val="en-US" w:eastAsia="es-ES"/>
        </w:rPr>
      </w:pPr>
    </w:p>
    <w:p w:rsidR="005D294B" w:rsidRPr="002C75B8" w:rsidRDefault="005D294B" w:rsidP="005D294B">
      <w:pPr>
        <w:ind w:left="0" w:firstLine="0"/>
        <w:rPr>
          <w:rFonts w:eastAsia="Times New Roman"/>
          <w:sz w:val="22"/>
          <w:lang w:val="en-US" w:eastAsia="es-ES"/>
        </w:rPr>
      </w:pPr>
    </w:p>
    <w:p w:rsidR="005D294B" w:rsidRPr="002C75B8" w:rsidRDefault="005D294B" w:rsidP="005D294B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lastRenderedPageBreak/>
        <w:t xml:space="preserve">DIAGNOSIS, TREATMENT </w:t>
      </w:r>
    </w:p>
    <w:p w:rsidR="005D294B" w:rsidRPr="002C75B8" w:rsidRDefault="005D294B" w:rsidP="005D294B">
      <w:pPr>
        <w:ind w:left="0" w:firstLine="0"/>
        <w:rPr>
          <w:b/>
          <w:bCs/>
          <w:sz w:val="22"/>
          <w:lang w:val="en-US"/>
        </w:rPr>
      </w:pPr>
    </w:p>
    <w:p w:rsidR="005D294B" w:rsidRPr="002C75B8" w:rsidRDefault="005D294B" w:rsidP="005D294B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Diagnosis: </w:t>
      </w:r>
    </w:p>
    <w:p w:rsidR="005D294B" w:rsidRPr="002C75B8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Pr="00EF6EC8" w:rsidRDefault="005D294B" w:rsidP="005D294B">
      <w:pPr>
        <w:ind w:left="0" w:firstLine="0"/>
        <w:rPr>
          <w:sz w:val="22"/>
        </w:rPr>
      </w:pPr>
      <w:r w:rsidRPr="00EF6EC8">
        <w:rPr>
          <w:sz w:val="22"/>
        </w:rPr>
        <w:t xml:space="preserve">VL: </w:t>
      </w:r>
      <w:proofErr w:type="spellStart"/>
      <w:r w:rsidRPr="00EF6EC8">
        <w:rPr>
          <w:sz w:val="22"/>
        </w:rPr>
        <w:t>confirmation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by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microscopic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examination</w:t>
      </w:r>
      <w:proofErr w:type="spellEnd"/>
      <w:r w:rsidRPr="00EF6EC8">
        <w:rPr>
          <w:sz w:val="22"/>
        </w:rPr>
        <w:t xml:space="preserve"> of </w:t>
      </w:r>
      <w:proofErr w:type="spellStart"/>
      <w:r w:rsidRPr="00EF6EC8">
        <w:rPr>
          <w:sz w:val="22"/>
        </w:rPr>
        <w:t>lymph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node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tissue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sample</w:t>
      </w:r>
      <w:proofErr w:type="spellEnd"/>
      <w:r w:rsidRPr="00EF6EC8">
        <w:rPr>
          <w:sz w:val="22"/>
        </w:rPr>
        <w:t>.</w:t>
      </w:r>
    </w:p>
    <w:p w:rsidR="005D294B" w:rsidRPr="00EF6EC8" w:rsidRDefault="005D294B" w:rsidP="005D294B">
      <w:pPr>
        <w:ind w:left="0" w:firstLine="0"/>
        <w:rPr>
          <w:sz w:val="22"/>
        </w:rPr>
      </w:pPr>
      <w:r w:rsidRPr="00EF6EC8">
        <w:rPr>
          <w:sz w:val="22"/>
        </w:rPr>
        <w:t xml:space="preserve">CL: </w:t>
      </w:r>
      <w:proofErr w:type="spellStart"/>
      <w:r w:rsidRPr="00EF6EC8">
        <w:rPr>
          <w:sz w:val="22"/>
        </w:rPr>
        <w:t>confirmation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by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microscopic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examination</w:t>
      </w:r>
      <w:proofErr w:type="spellEnd"/>
      <w:r w:rsidRPr="00EF6EC8">
        <w:rPr>
          <w:sz w:val="22"/>
        </w:rPr>
        <w:t xml:space="preserve"> of </w:t>
      </w:r>
      <w:proofErr w:type="spellStart"/>
      <w:r w:rsidRPr="00EF6EC8">
        <w:rPr>
          <w:sz w:val="22"/>
        </w:rPr>
        <w:t>tissue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sample</w:t>
      </w:r>
      <w:proofErr w:type="spellEnd"/>
      <w:r w:rsidRPr="00EF6EC8">
        <w:rPr>
          <w:sz w:val="22"/>
        </w:rPr>
        <w:t>.</w:t>
      </w:r>
    </w:p>
    <w:p w:rsidR="005D294B" w:rsidRPr="002C75B8" w:rsidRDefault="005D294B" w:rsidP="005D294B">
      <w:pPr>
        <w:ind w:left="0" w:firstLine="0"/>
        <w:rPr>
          <w:b/>
          <w:bCs/>
          <w:sz w:val="22"/>
          <w:lang w:val="en-US"/>
        </w:rPr>
      </w:pPr>
    </w:p>
    <w:p w:rsidR="005D294B" w:rsidRDefault="005D294B" w:rsidP="005D294B">
      <w:pPr>
        <w:ind w:left="0" w:firstLine="0"/>
        <w:jc w:val="left"/>
        <w:rPr>
          <w:b/>
          <w:bCs/>
          <w:sz w:val="22"/>
          <w:lang w:val="en-GB"/>
        </w:rPr>
      </w:pPr>
      <w:r w:rsidRPr="00B37375">
        <w:rPr>
          <w:b/>
          <w:bCs/>
          <w:sz w:val="22"/>
          <w:lang w:val="en-GB"/>
        </w:rPr>
        <w:t>Treatment</w:t>
      </w:r>
      <w:r>
        <w:rPr>
          <w:b/>
          <w:bCs/>
          <w:sz w:val="22"/>
          <w:lang w:val="en-GB"/>
        </w:rPr>
        <w:t>:</w:t>
      </w:r>
    </w:p>
    <w:p w:rsidR="005D294B" w:rsidRPr="00B37375" w:rsidRDefault="005D294B" w:rsidP="005D294B">
      <w:pPr>
        <w:ind w:left="0" w:firstLine="0"/>
        <w:jc w:val="left"/>
        <w:rPr>
          <w:b/>
          <w:sz w:val="22"/>
          <w:lang w:val="en-GB"/>
        </w:rPr>
      </w:pPr>
    </w:p>
    <w:p w:rsidR="005D294B" w:rsidRPr="00EF6EC8" w:rsidRDefault="005D294B" w:rsidP="005D294B">
      <w:pPr>
        <w:ind w:left="0" w:firstLine="0"/>
        <w:rPr>
          <w:sz w:val="22"/>
        </w:rPr>
      </w:pPr>
      <w:r w:rsidRPr="00EF6EC8">
        <w:rPr>
          <w:sz w:val="22"/>
        </w:rPr>
        <w:t>VL: antimonials, 60 mg</w:t>
      </w:r>
      <w:r>
        <w:rPr>
          <w:sz w:val="22"/>
        </w:rPr>
        <w:t xml:space="preserve"> </w:t>
      </w:r>
      <w:proofErr w:type="spellStart"/>
      <w:r>
        <w:rPr>
          <w:sz w:val="22"/>
        </w:rPr>
        <w:t>Sb</w:t>
      </w:r>
      <w:r w:rsidRPr="001905E8">
        <w:rPr>
          <w:sz w:val="22"/>
          <w:vertAlign w:val="superscript"/>
        </w:rPr>
        <w:t>v</w:t>
      </w:r>
      <w:proofErr w:type="spellEnd"/>
      <w:r w:rsidRPr="00EF6EC8">
        <w:rPr>
          <w:sz w:val="22"/>
        </w:rPr>
        <w:t>/kg/</w:t>
      </w:r>
      <w:proofErr w:type="spellStart"/>
      <w:r w:rsidRPr="00EF6EC8">
        <w:rPr>
          <w:sz w:val="22"/>
        </w:rPr>
        <w:t>day</w:t>
      </w:r>
      <w:proofErr w:type="spellEnd"/>
      <w:r w:rsidRPr="00EF6EC8">
        <w:rPr>
          <w:sz w:val="22"/>
        </w:rPr>
        <w:t xml:space="preserve"> meglumine antimoniate </w:t>
      </w:r>
      <w:proofErr w:type="spellStart"/>
      <w:r w:rsidRPr="00EF6EC8">
        <w:rPr>
          <w:sz w:val="22"/>
        </w:rPr>
        <w:t>equivalent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to</w:t>
      </w:r>
      <w:proofErr w:type="spellEnd"/>
      <w:r w:rsidRPr="00EF6EC8">
        <w:rPr>
          <w:sz w:val="22"/>
        </w:rPr>
        <w:t xml:space="preserve"> 16.8 mg </w:t>
      </w:r>
      <w:proofErr w:type="spellStart"/>
      <w:r w:rsidRPr="00EF6EC8">
        <w:rPr>
          <w:sz w:val="22"/>
        </w:rPr>
        <w:t>Sbv</w:t>
      </w:r>
      <w:proofErr w:type="spellEnd"/>
      <w:r w:rsidRPr="00EF6EC8">
        <w:rPr>
          <w:sz w:val="22"/>
        </w:rPr>
        <w:t xml:space="preserve"> /kg/</w:t>
      </w:r>
      <w:proofErr w:type="spellStart"/>
      <w:r w:rsidRPr="00EF6EC8">
        <w:rPr>
          <w:sz w:val="22"/>
        </w:rPr>
        <w:t>day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for</w:t>
      </w:r>
      <w:proofErr w:type="spellEnd"/>
      <w:r w:rsidRPr="00EF6EC8">
        <w:rPr>
          <w:sz w:val="22"/>
        </w:rPr>
        <w:t xml:space="preserve"> 20 </w:t>
      </w:r>
      <w:proofErr w:type="spellStart"/>
      <w:r w:rsidRPr="00EF6EC8">
        <w:rPr>
          <w:sz w:val="22"/>
        </w:rPr>
        <w:t>days</w:t>
      </w:r>
      <w:proofErr w:type="spellEnd"/>
      <w:r w:rsidRPr="00EF6EC8">
        <w:rPr>
          <w:sz w:val="22"/>
        </w:rPr>
        <w:t xml:space="preserve">. Cure </w:t>
      </w:r>
      <w:proofErr w:type="spellStart"/>
      <w:r w:rsidRPr="00EF6EC8">
        <w:rPr>
          <w:sz w:val="22"/>
        </w:rPr>
        <w:t>rate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is</w:t>
      </w:r>
      <w:proofErr w:type="spellEnd"/>
      <w:r w:rsidRPr="00EF6EC8">
        <w:rPr>
          <w:sz w:val="22"/>
        </w:rPr>
        <w:t xml:space="preserve"> 46%. </w:t>
      </w:r>
      <w:proofErr w:type="spellStart"/>
      <w:r w:rsidRPr="00EF6EC8">
        <w:rPr>
          <w:sz w:val="22"/>
        </w:rPr>
        <w:t>Second</w:t>
      </w:r>
      <w:proofErr w:type="spellEnd"/>
      <w:r w:rsidRPr="00EF6EC8">
        <w:rPr>
          <w:sz w:val="22"/>
        </w:rPr>
        <w:t xml:space="preserve"> line </w:t>
      </w:r>
      <w:proofErr w:type="spellStart"/>
      <w:r w:rsidRPr="00EF6EC8">
        <w:rPr>
          <w:sz w:val="22"/>
        </w:rPr>
        <w:t>treatment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is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with</w:t>
      </w:r>
      <w:proofErr w:type="spellEnd"/>
      <w:r w:rsidRPr="00EF6EC8">
        <w:rPr>
          <w:sz w:val="22"/>
        </w:rPr>
        <w:t xml:space="preserve"> amphotericin B, 50 mg total </w:t>
      </w:r>
      <w:proofErr w:type="spellStart"/>
      <w:r w:rsidRPr="00EF6EC8">
        <w:rPr>
          <w:sz w:val="22"/>
        </w:rPr>
        <w:t>dose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every</w:t>
      </w:r>
      <w:proofErr w:type="spellEnd"/>
      <w:r w:rsidRPr="00EF6EC8">
        <w:rPr>
          <w:sz w:val="22"/>
        </w:rPr>
        <w:t xml:space="preserve"> 2 </w:t>
      </w:r>
      <w:proofErr w:type="spellStart"/>
      <w:r w:rsidRPr="00EF6EC8">
        <w:rPr>
          <w:sz w:val="22"/>
        </w:rPr>
        <w:t>days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or</w:t>
      </w:r>
      <w:proofErr w:type="spellEnd"/>
      <w:r w:rsidRPr="00EF6EC8">
        <w:rPr>
          <w:sz w:val="22"/>
        </w:rPr>
        <w:t xml:space="preserve"> a </w:t>
      </w:r>
      <w:proofErr w:type="spellStart"/>
      <w:r w:rsidRPr="00EF6EC8">
        <w:rPr>
          <w:sz w:val="22"/>
        </w:rPr>
        <w:t>combination</w:t>
      </w:r>
      <w:proofErr w:type="spellEnd"/>
      <w:r w:rsidRPr="00EF6EC8">
        <w:rPr>
          <w:sz w:val="22"/>
        </w:rPr>
        <w:t xml:space="preserve"> of </w:t>
      </w:r>
      <w:proofErr w:type="spellStart"/>
      <w:r w:rsidRPr="00EF6EC8">
        <w:rPr>
          <w:sz w:val="22"/>
        </w:rPr>
        <w:t>pentamidine</w:t>
      </w:r>
      <w:proofErr w:type="spellEnd"/>
      <w:r w:rsidRPr="00EF6EC8">
        <w:rPr>
          <w:sz w:val="22"/>
        </w:rPr>
        <w:t>, 4 mg/kg/</w:t>
      </w:r>
      <w:proofErr w:type="spellStart"/>
      <w:r w:rsidRPr="00EF6EC8">
        <w:rPr>
          <w:sz w:val="22"/>
        </w:rPr>
        <w:t>day</w:t>
      </w:r>
      <w:proofErr w:type="spellEnd"/>
      <w:r w:rsidRPr="00EF6EC8">
        <w:rPr>
          <w:sz w:val="22"/>
        </w:rPr>
        <w:t xml:space="preserve">, and </w:t>
      </w:r>
      <w:proofErr w:type="spellStart"/>
      <w:r w:rsidRPr="00EF6EC8">
        <w:rPr>
          <w:sz w:val="22"/>
        </w:rPr>
        <w:t>metronidazole</w:t>
      </w:r>
      <w:proofErr w:type="spellEnd"/>
      <w:r w:rsidRPr="00EF6EC8">
        <w:rPr>
          <w:sz w:val="22"/>
        </w:rPr>
        <w:t xml:space="preserve">, 500 mg 3 </w:t>
      </w:r>
      <w:proofErr w:type="spellStart"/>
      <w:r w:rsidRPr="00EF6EC8">
        <w:rPr>
          <w:sz w:val="22"/>
        </w:rPr>
        <w:t>dd</w:t>
      </w:r>
      <w:proofErr w:type="spellEnd"/>
      <w:r w:rsidRPr="00EF6EC8">
        <w:rPr>
          <w:sz w:val="22"/>
        </w:rPr>
        <w:t xml:space="preserve">. Cure </w:t>
      </w:r>
      <w:proofErr w:type="spellStart"/>
      <w:r w:rsidRPr="00EF6EC8">
        <w:rPr>
          <w:sz w:val="22"/>
        </w:rPr>
        <w:t>rate</w:t>
      </w:r>
      <w:proofErr w:type="spellEnd"/>
      <w:r w:rsidRPr="00EF6EC8">
        <w:rPr>
          <w:sz w:val="22"/>
        </w:rPr>
        <w:t xml:space="preserve"> of </w:t>
      </w:r>
      <w:proofErr w:type="spellStart"/>
      <w:r w:rsidRPr="00EF6EC8">
        <w:rPr>
          <w:sz w:val="22"/>
        </w:rPr>
        <w:t>this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regimen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is</w:t>
      </w:r>
      <w:proofErr w:type="spellEnd"/>
      <w:r w:rsidRPr="00EF6EC8">
        <w:rPr>
          <w:sz w:val="22"/>
        </w:rPr>
        <w:t xml:space="preserve"> 15%. </w:t>
      </w:r>
      <w:proofErr w:type="spellStart"/>
      <w:r w:rsidRPr="00EF6EC8">
        <w:rPr>
          <w:sz w:val="22"/>
        </w:rPr>
        <w:t>Overall</w:t>
      </w:r>
      <w:proofErr w:type="spellEnd"/>
      <w:r w:rsidRPr="00EF6EC8">
        <w:rPr>
          <w:sz w:val="22"/>
        </w:rPr>
        <w:t xml:space="preserve"> cure </w:t>
      </w:r>
      <w:proofErr w:type="spellStart"/>
      <w:r w:rsidRPr="00EF6EC8">
        <w:rPr>
          <w:sz w:val="22"/>
        </w:rPr>
        <w:t>rate</w:t>
      </w:r>
      <w:proofErr w:type="spellEnd"/>
      <w:r w:rsidRPr="00EF6EC8">
        <w:rPr>
          <w:sz w:val="22"/>
        </w:rPr>
        <w:t xml:space="preserve"> of VL </w:t>
      </w:r>
      <w:proofErr w:type="spellStart"/>
      <w:r w:rsidRPr="00EF6EC8">
        <w:rPr>
          <w:sz w:val="22"/>
        </w:rPr>
        <w:t>is</w:t>
      </w:r>
      <w:proofErr w:type="spellEnd"/>
      <w:r w:rsidRPr="00EF6EC8">
        <w:rPr>
          <w:sz w:val="22"/>
        </w:rPr>
        <w:t xml:space="preserve"> 40%, </w:t>
      </w:r>
      <w:proofErr w:type="spellStart"/>
      <w:r w:rsidRPr="00EF6EC8">
        <w:rPr>
          <w:sz w:val="22"/>
        </w:rPr>
        <w:t>fatality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rate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is</w:t>
      </w:r>
      <w:proofErr w:type="spellEnd"/>
      <w:r w:rsidRPr="00EF6EC8">
        <w:rPr>
          <w:sz w:val="22"/>
        </w:rPr>
        <w:t xml:space="preserve"> 60%.</w:t>
      </w:r>
    </w:p>
    <w:p w:rsidR="005D294B" w:rsidRPr="00EF6EC8" w:rsidRDefault="005D294B" w:rsidP="005D294B">
      <w:pPr>
        <w:ind w:left="0" w:firstLine="0"/>
        <w:rPr>
          <w:sz w:val="22"/>
        </w:rPr>
      </w:pPr>
      <w:r w:rsidRPr="00EF6EC8">
        <w:rPr>
          <w:sz w:val="22"/>
        </w:rPr>
        <w:t xml:space="preserve">CL: antimonials, intralesional </w:t>
      </w:r>
      <w:proofErr w:type="spellStart"/>
      <w:r w:rsidRPr="00EF6EC8">
        <w:rPr>
          <w:sz w:val="22"/>
        </w:rPr>
        <w:t>or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systemic</w:t>
      </w:r>
      <w:proofErr w:type="spellEnd"/>
      <w:r w:rsidRPr="00EF6EC8">
        <w:rPr>
          <w:sz w:val="22"/>
        </w:rPr>
        <w:t>, 60 mg</w:t>
      </w:r>
      <w:r>
        <w:rPr>
          <w:sz w:val="22"/>
        </w:rPr>
        <w:t xml:space="preserve"> </w:t>
      </w:r>
      <w:proofErr w:type="spellStart"/>
      <w:r>
        <w:rPr>
          <w:sz w:val="22"/>
        </w:rPr>
        <w:t>Sb</w:t>
      </w:r>
      <w:r w:rsidRPr="001905E8">
        <w:rPr>
          <w:sz w:val="22"/>
          <w:vertAlign w:val="superscript"/>
        </w:rPr>
        <w:t>v</w:t>
      </w:r>
      <w:proofErr w:type="spellEnd"/>
      <w:r w:rsidRPr="00EF6EC8">
        <w:rPr>
          <w:sz w:val="22"/>
        </w:rPr>
        <w:t>/kg/</w:t>
      </w:r>
      <w:proofErr w:type="spellStart"/>
      <w:r w:rsidRPr="00EF6EC8">
        <w:rPr>
          <w:sz w:val="22"/>
        </w:rPr>
        <w:t>day</w:t>
      </w:r>
      <w:proofErr w:type="spellEnd"/>
      <w:r w:rsidRPr="00EF6EC8">
        <w:rPr>
          <w:sz w:val="22"/>
        </w:rPr>
        <w:t xml:space="preserve"> meglumine antimoniate </w:t>
      </w:r>
      <w:proofErr w:type="spellStart"/>
      <w:r w:rsidRPr="00EF6EC8">
        <w:rPr>
          <w:sz w:val="22"/>
        </w:rPr>
        <w:t>equivalent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to</w:t>
      </w:r>
      <w:proofErr w:type="spellEnd"/>
      <w:r w:rsidRPr="00EF6EC8">
        <w:rPr>
          <w:sz w:val="22"/>
        </w:rPr>
        <w:t xml:space="preserve"> 16.8 mg </w:t>
      </w:r>
      <w:proofErr w:type="spellStart"/>
      <w:r w:rsidRPr="00EF6EC8">
        <w:rPr>
          <w:sz w:val="22"/>
        </w:rPr>
        <w:t>Sbv</w:t>
      </w:r>
      <w:proofErr w:type="spellEnd"/>
      <w:r w:rsidRPr="00EF6EC8">
        <w:rPr>
          <w:sz w:val="22"/>
        </w:rPr>
        <w:t xml:space="preserve"> /kg/</w:t>
      </w:r>
      <w:proofErr w:type="spellStart"/>
      <w:r w:rsidRPr="00EF6EC8">
        <w:rPr>
          <w:sz w:val="22"/>
        </w:rPr>
        <w:t>day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for</w:t>
      </w:r>
      <w:proofErr w:type="spellEnd"/>
      <w:r w:rsidRPr="00EF6EC8">
        <w:rPr>
          <w:sz w:val="22"/>
        </w:rPr>
        <w:t xml:space="preserve"> 20 </w:t>
      </w:r>
      <w:proofErr w:type="spellStart"/>
      <w:r w:rsidRPr="00EF6EC8">
        <w:rPr>
          <w:sz w:val="22"/>
        </w:rPr>
        <w:t>days</w:t>
      </w:r>
      <w:proofErr w:type="spellEnd"/>
      <w:r w:rsidRPr="00EF6EC8">
        <w:rPr>
          <w:sz w:val="22"/>
        </w:rPr>
        <w:t xml:space="preserve">. The cure </w:t>
      </w:r>
      <w:proofErr w:type="spellStart"/>
      <w:r w:rsidRPr="00EF6EC8">
        <w:rPr>
          <w:sz w:val="22"/>
        </w:rPr>
        <w:t>rate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is</w:t>
      </w:r>
      <w:proofErr w:type="spellEnd"/>
      <w:r w:rsidRPr="00EF6EC8">
        <w:rPr>
          <w:sz w:val="22"/>
        </w:rPr>
        <w:t xml:space="preserve"> 93%, </w:t>
      </w:r>
      <w:proofErr w:type="spellStart"/>
      <w:r w:rsidRPr="00EF6EC8">
        <w:rPr>
          <w:sz w:val="22"/>
        </w:rPr>
        <w:t>with</w:t>
      </w:r>
      <w:proofErr w:type="spellEnd"/>
      <w:r w:rsidRPr="00EF6EC8">
        <w:rPr>
          <w:sz w:val="22"/>
        </w:rPr>
        <w:t xml:space="preserve"> a </w:t>
      </w:r>
      <w:proofErr w:type="spellStart"/>
      <w:r w:rsidRPr="00EF6EC8">
        <w:rPr>
          <w:sz w:val="22"/>
        </w:rPr>
        <w:t>fatality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rate</w:t>
      </w:r>
      <w:proofErr w:type="spellEnd"/>
      <w:r w:rsidRPr="00EF6EC8">
        <w:rPr>
          <w:sz w:val="22"/>
        </w:rPr>
        <w:t xml:space="preserve"> of 7%. </w:t>
      </w:r>
    </w:p>
    <w:p w:rsidR="005D294B" w:rsidRPr="002C75B8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Pr="002C75B8" w:rsidRDefault="005D294B" w:rsidP="005D294B">
      <w:pPr>
        <w:ind w:left="0" w:firstLine="0"/>
        <w:rPr>
          <w:bCs/>
          <w:sz w:val="22"/>
          <w:lang w:val="en-US"/>
        </w:rPr>
      </w:pPr>
    </w:p>
    <w:p w:rsidR="005D294B" w:rsidRPr="002C75B8" w:rsidRDefault="005D294B" w:rsidP="005D294B">
      <w:pPr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ACCESS TO CARE </w:t>
      </w:r>
    </w:p>
    <w:p w:rsidR="005D294B" w:rsidRPr="002C75B8" w:rsidRDefault="005D294B" w:rsidP="005D294B">
      <w:pPr>
        <w:ind w:left="0" w:firstLine="0"/>
        <w:rPr>
          <w:sz w:val="22"/>
          <w:lang w:val="en-US"/>
        </w:rPr>
      </w:pPr>
    </w:p>
    <w:p w:rsidR="005D294B" w:rsidRPr="002C75B8" w:rsidRDefault="005D294B" w:rsidP="005D294B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Most health practitioners are not trained to diagnose leishmaniasis. Diagnosis and treatment is only possible in 4 hospitals. </w:t>
      </w:r>
    </w:p>
    <w:p w:rsidR="005D294B" w:rsidRDefault="005D294B" w:rsidP="005D294B">
      <w:pPr>
        <w:ind w:left="0" w:firstLine="0"/>
        <w:rPr>
          <w:b/>
          <w:sz w:val="22"/>
          <w:lang w:val="en-US"/>
        </w:rPr>
      </w:pPr>
    </w:p>
    <w:p w:rsidR="005D294B" w:rsidRPr="002C75B8" w:rsidRDefault="005D294B" w:rsidP="005D294B">
      <w:pPr>
        <w:ind w:left="0" w:firstLine="0"/>
        <w:rPr>
          <w:b/>
          <w:sz w:val="22"/>
          <w:lang w:val="en-US"/>
        </w:rPr>
      </w:pPr>
    </w:p>
    <w:p w:rsidR="005D294B" w:rsidRPr="002C75B8" w:rsidRDefault="005D294B" w:rsidP="005D294B">
      <w:pPr>
        <w:ind w:left="0" w:firstLine="0"/>
        <w:rPr>
          <w:sz w:val="22"/>
          <w:lang w:val="en-US"/>
        </w:rPr>
      </w:pPr>
      <w:r w:rsidRPr="002C75B8">
        <w:rPr>
          <w:b/>
          <w:sz w:val="22"/>
          <w:lang w:val="en-US"/>
        </w:rPr>
        <w:t>ACCESS TO DRUGS</w:t>
      </w:r>
      <w:r w:rsidRPr="002C75B8">
        <w:rPr>
          <w:sz w:val="22"/>
          <w:lang w:val="en-US"/>
        </w:rPr>
        <w:t xml:space="preserve"> </w:t>
      </w:r>
    </w:p>
    <w:p w:rsidR="005D294B" w:rsidRPr="002C75B8" w:rsidRDefault="005D294B" w:rsidP="005D294B">
      <w:pPr>
        <w:ind w:left="0" w:firstLine="0"/>
        <w:rPr>
          <w:sz w:val="22"/>
          <w:lang w:val="en-US"/>
        </w:rPr>
      </w:pPr>
    </w:p>
    <w:p w:rsidR="005D294B" w:rsidRPr="002C75B8" w:rsidRDefault="005D294B" w:rsidP="005D294B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No antimonials are registered. Megl</w:t>
      </w:r>
      <w:r>
        <w:rPr>
          <w:sz w:val="22"/>
          <w:lang w:val="en-US"/>
        </w:rPr>
        <w:t xml:space="preserve">umine antimoniate (Glucantime, </w:t>
      </w:r>
      <w:proofErr w:type="spellStart"/>
      <w:r>
        <w:rPr>
          <w:sz w:val="22"/>
          <w:lang w:val="en-US"/>
        </w:rPr>
        <w:t>Sanofi</w:t>
      </w:r>
      <w:proofErr w:type="spellEnd"/>
      <w:r w:rsidRPr="002C75B8">
        <w:rPr>
          <w:sz w:val="22"/>
          <w:lang w:val="en-US"/>
        </w:rPr>
        <w:t>) is used in hospitals.</w:t>
      </w:r>
    </w:p>
    <w:p w:rsidR="005D294B" w:rsidRPr="002C75B8" w:rsidRDefault="005D294B" w:rsidP="005D294B">
      <w:pPr>
        <w:ind w:left="0" w:firstLine="0"/>
        <w:rPr>
          <w:b/>
          <w:sz w:val="22"/>
          <w:lang w:val="en-US"/>
        </w:rPr>
      </w:pPr>
      <w:r>
        <w:rPr>
          <w:b/>
          <w:sz w:val="22"/>
          <w:lang w:val="en-US"/>
        </w:rPr>
        <w:tab/>
      </w:r>
    </w:p>
    <w:p w:rsidR="005D294B" w:rsidRDefault="005D294B" w:rsidP="005D294B">
      <w:pPr>
        <w:ind w:left="0" w:firstLine="0"/>
        <w:rPr>
          <w:b/>
          <w:sz w:val="22"/>
          <w:lang w:val="en-US"/>
        </w:rPr>
      </w:pPr>
    </w:p>
    <w:p w:rsidR="005D294B" w:rsidRPr="002C75B8" w:rsidRDefault="005D294B" w:rsidP="005D294B">
      <w:pPr>
        <w:ind w:left="0" w:firstLine="0"/>
        <w:rPr>
          <w:b/>
          <w:sz w:val="22"/>
          <w:lang w:val="en-US"/>
        </w:rPr>
      </w:pPr>
    </w:p>
    <w:p w:rsidR="005D294B" w:rsidRPr="002C75B8" w:rsidRDefault="005D294B" w:rsidP="005D294B">
      <w:pPr>
        <w:ind w:left="0" w:firstLine="0"/>
        <w:rPr>
          <w:b/>
          <w:sz w:val="22"/>
          <w:u w:val="single"/>
          <w:lang w:val="en-US"/>
        </w:rPr>
      </w:pPr>
      <w:r w:rsidRPr="002C75B8">
        <w:rPr>
          <w:b/>
          <w:sz w:val="22"/>
          <w:lang w:val="en-US"/>
        </w:rPr>
        <w:t>SOURCES OF INFORMATION</w:t>
      </w:r>
    </w:p>
    <w:p w:rsidR="005D294B" w:rsidRPr="002C75B8" w:rsidRDefault="005D294B" w:rsidP="005D294B">
      <w:pPr>
        <w:ind w:left="0" w:firstLine="0"/>
        <w:rPr>
          <w:sz w:val="22"/>
          <w:lang w:val="en-US"/>
        </w:rPr>
      </w:pPr>
    </w:p>
    <w:p w:rsidR="005D294B" w:rsidRPr="002F2F3C" w:rsidRDefault="005D294B" w:rsidP="005D294B">
      <w:pPr>
        <w:ind w:left="0" w:firstLine="0"/>
        <w:rPr>
          <w:sz w:val="22"/>
          <w:lang w:val="en-US"/>
        </w:rPr>
      </w:pPr>
      <w:r w:rsidRPr="002F2F3C">
        <w:rPr>
          <w:sz w:val="22"/>
          <w:lang w:val="en-US"/>
        </w:rPr>
        <w:t xml:space="preserve">1. </w:t>
      </w:r>
      <w:hyperlink r:id="rId10" w:history="1">
        <w:r w:rsidRPr="003E62F3">
          <w:rPr>
            <w:sz w:val="22"/>
            <w:lang w:val="nl-NL"/>
          </w:rPr>
          <w:t>Kouassi B</w:t>
        </w:r>
      </w:hyperlink>
      <w:r w:rsidRPr="003E62F3">
        <w:rPr>
          <w:sz w:val="22"/>
          <w:lang w:val="nl-NL"/>
        </w:rPr>
        <w:t xml:space="preserve">, </w:t>
      </w:r>
      <w:hyperlink r:id="rId11" w:history="1">
        <w:r w:rsidRPr="003E62F3">
          <w:rPr>
            <w:sz w:val="22"/>
            <w:lang w:val="nl-NL"/>
          </w:rPr>
          <w:t>Horo K</w:t>
        </w:r>
      </w:hyperlink>
      <w:r w:rsidRPr="003E62F3">
        <w:rPr>
          <w:sz w:val="22"/>
          <w:lang w:val="nl-NL"/>
        </w:rPr>
        <w:t xml:space="preserve">, </w:t>
      </w:r>
      <w:hyperlink r:id="rId12" w:history="1">
        <w:r w:rsidRPr="003E62F3">
          <w:rPr>
            <w:sz w:val="22"/>
            <w:lang w:val="nl-NL"/>
          </w:rPr>
          <w:t>Achi VH</w:t>
        </w:r>
      </w:hyperlink>
      <w:r w:rsidRPr="003E62F3">
        <w:rPr>
          <w:sz w:val="22"/>
          <w:lang w:val="nl-NL"/>
        </w:rPr>
        <w:t xml:space="preserve">, </w:t>
      </w:r>
      <w:hyperlink r:id="rId13" w:history="1">
        <w:r w:rsidRPr="003E62F3">
          <w:rPr>
            <w:sz w:val="22"/>
            <w:lang w:val="nl-NL"/>
          </w:rPr>
          <w:t>Adoubryn KD</w:t>
        </w:r>
      </w:hyperlink>
      <w:r w:rsidRPr="003E62F3">
        <w:rPr>
          <w:sz w:val="22"/>
          <w:lang w:val="nl-NL"/>
        </w:rPr>
        <w:t xml:space="preserve">, </w:t>
      </w:r>
      <w:hyperlink r:id="rId14" w:history="1">
        <w:r w:rsidRPr="003E62F3">
          <w:rPr>
            <w:sz w:val="22"/>
            <w:lang w:val="nl-NL"/>
          </w:rPr>
          <w:t>Kakou ES</w:t>
        </w:r>
      </w:hyperlink>
      <w:r w:rsidRPr="003E62F3">
        <w:rPr>
          <w:sz w:val="22"/>
          <w:lang w:val="nl-NL"/>
        </w:rPr>
        <w:t xml:space="preserve"> et al</w:t>
      </w:r>
      <w:r>
        <w:rPr>
          <w:sz w:val="22"/>
          <w:lang w:val="nl-NL"/>
        </w:rPr>
        <w:t xml:space="preserve"> (2005)</w:t>
      </w:r>
      <w:r w:rsidRPr="003E62F3">
        <w:rPr>
          <w:sz w:val="22"/>
          <w:lang w:val="nl-NL"/>
        </w:rPr>
        <w:t xml:space="preserve">. </w:t>
      </w:r>
      <w:proofErr w:type="gramStart"/>
      <w:r w:rsidRPr="002F2F3C">
        <w:rPr>
          <w:sz w:val="22"/>
          <w:lang w:val="en-US"/>
        </w:rPr>
        <w:t>Three cases of visceral leishmaniasis in Abidjan, Cote d'Ivoire.</w:t>
      </w:r>
      <w:proofErr w:type="gramEnd"/>
      <w:r w:rsidRPr="002F2F3C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Med </w:t>
      </w:r>
      <w:proofErr w:type="spellStart"/>
      <w:r>
        <w:rPr>
          <w:sz w:val="22"/>
          <w:lang w:val="en-US"/>
        </w:rPr>
        <w:t>Trop</w:t>
      </w:r>
      <w:proofErr w:type="spellEnd"/>
      <w:r>
        <w:rPr>
          <w:sz w:val="22"/>
          <w:lang w:val="en-US"/>
        </w:rPr>
        <w:t xml:space="preserve"> </w:t>
      </w:r>
      <w:r w:rsidRPr="002F2F3C">
        <w:rPr>
          <w:sz w:val="22"/>
          <w:lang w:val="en-US"/>
        </w:rPr>
        <w:t>65(6):602-3.</w:t>
      </w:r>
    </w:p>
    <w:p w:rsidR="005D294B" w:rsidRPr="002F2F3C" w:rsidRDefault="005D294B" w:rsidP="005D294B">
      <w:pPr>
        <w:ind w:left="0" w:firstLine="0"/>
        <w:rPr>
          <w:sz w:val="22"/>
          <w:lang w:val="en-US"/>
        </w:rPr>
      </w:pPr>
    </w:p>
    <w:p w:rsidR="005D294B" w:rsidRDefault="005D294B" w:rsidP="005D294B">
      <w:pPr>
        <w:ind w:left="0" w:firstLine="0"/>
        <w:rPr>
          <w:sz w:val="22"/>
          <w:lang w:val="en-US"/>
        </w:rPr>
      </w:pPr>
      <w:r w:rsidRPr="002F2F3C">
        <w:rPr>
          <w:sz w:val="22"/>
          <w:lang w:val="en-US"/>
        </w:rPr>
        <w:t xml:space="preserve">2. </w:t>
      </w:r>
      <w:hyperlink r:id="rId15" w:history="1">
        <w:proofErr w:type="spellStart"/>
        <w:r w:rsidRPr="002F2F3C">
          <w:rPr>
            <w:sz w:val="22"/>
            <w:lang w:val="en-US"/>
          </w:rPr>
          <w:t>Eholié</w:t>
        </w:r>
        <w:proofErr w:type="spellEnd"/>
        <w:r w:rsidRPr="002F2F3C">
          <w:rPr>
            <w:sz w:val="22"/>
            <w:lang w:val="en-US"/>
          </w:rPr>
          <w:t xml:space="preserve"> SP</w:t>
        </w:r>
      </w:hyperlink>
      <w:r w:rsidRPr="002F2F3C">
        <w:rPr>
          <w:sz w:val="22"/>
          <w:lang w:val="en-US"/>
        </w:rPr>
        <w:t xml:space="preserve">, </w:t>
      </w:r>
      <w:hyperlink r:id="rId16" w:history="1">
        <w:proofErr w:type="spellStart"/>
        <w:r w:rsidRPr="002F2F3C">
          <w:rPr>
            <w:sz w:val="22"/>
            <w:lang w:val="en-US"/>
          </w:rPr>
          <w:t>Tanon</w:t>
        </w:r>
        <w:proofErr w:type="spellEnd"/>
        <w:r w:rsidRPr="002F2F3C">
          <w:rPr>
            <w:sz w:val="22"/>
            <w:lang w:val="en-US"/>
          </w:rPr>
          <w:t xml:space="preserve"> AK</w:t>
        </w:r>
      </w:hyperlink>
      <w:r w:rsidRPr="002F2F3C">
        <w:rPr>
          <w:sz w:val="22"/>
          <w:lang w:val="en-US"/>
        </w:rPr>
        <w:t xml:space="preserve">, </w:t>
      </w:r>
      <w:hyperlink r:id="rId17" w:history="1">
        <w:proofErr w:type="spellStart"/>
        <w:r w:rsidRPr="002F2F3C">
          <w:rPr>
            <w:sz w:val="22"/>
            <w:lang w:val="en-US"/>
          </w:rPr>
          <w:t>Folquet-Amorissani</w:t>
        </w:r>
        <w:proofErr w:type="spellEnd"/>
        <w:r w:rsidRPr="002F2F3C">
          <w:rPr>
            <w:sz w:val="22"/>
            <w:lang w:val="en-US"/>
          </w:rPr>
          <w:t xml:space="preserve"> M</w:t>
        </w:r>
      </w:hyperlink>
      <w:r w:rsidRPr="002F2F3C">
        <w:rPr>
          <w:sz w:val="22"/>
          <w:lang w:val="en-US"/>
        </w:rPr>
        <w:t xml:space="preserve">, </w:t>
      </w:r>
      <w:hyperlink r:id="rId18" w:history="1">
        <w:proofErr w:type="spellStart"/>
        <w:r w:rsidRPr="002F2F3C">
          <w:rPr>
            <w:sz w:val="22"/>
            <w:lang w:val="en-US"/>
          </w:rPr>
          <w:t>Doukouré</w:t>
        </w:r>
        <w:proofErr w:type="spellEnd"/>
        <w:r w:rsidRPr="002F2F3C">
          <w:rPr>
            <w:sz w:val="22"/>
            <w:lang w:val="en-US"/>
          </w:rPr>
          <w:t xml:space="preserve"> B</w:t>
        </w:r>
      </w:hyperlink>
      <w:r w:rsidRPr="002F2F3C">
        <w:rPr>
          <w:sz w:val="22"/>
          <w:lang w:val="en-US"/>
        </w:rPr>
        <w:t xml:space="preserve">, </w:t>
      </w:r>
      <w:hyperlink r:id="rId19" w:history="1">
        <w:proofErr w:type="spellStart"/>
        <w:r w:rsidRPr="002F2F3C">
          <w:rPr>
            <w:sz w:val="22"/>
            <w:lang w:val="en-US"/>
          </w:rPr>
          <w:t>Adoubryn</w:t>
        </w:r>
        <w:proofErr w:type="spellEnd"/>
        <w:r w:rsidRPr="002F2F3C">
          <w:rPr>
            <w:sz w:val="22"/>
            <w:lang w:val="en-US"/>
          </w:rPr>
          <w:t xml:space="preserve"> KD</w:t>
        </w:r>
      </w:hyperlink>
      <w:r w:rsidRPr="002F2F3C">
        <w:rPr>
          <w:sz w:val="22"/>
          <w:lang w:val="en-US"/>
        </w:rPr>
        <w:t xml:space="preserve"> </w:t>
      </w:r>
      <w:r>
        <w:rPr>
          <w:sz w:val="22"/>
          <w:lang w:val="en-US"/>
        </w:rPr>
        <w:t>et al (2008)</w:t>
      </w:r>
      <w:r w:rsidRPr="002F2F3C">
        <w:rPr>
          <w:sz w:val="22"/>
          <w:lang w:val="en-US"/>
        </w:rPr>
        <w:t xml:space="preserve">. </w:t>
      </w:r>
      <w:proofErr w:type="gramStart"/>
      <w:r w:rsidRPr="00A20B64">
        <w:rPr>
          <w:color w:val="000000"/>
          <w:sz w:val="22"/>
          <w:lang w:val="en-US"/>
        </w:rPr>
        <w:t>Three new cases of visceral leishmaniasis</w:t>
      </w:r>
      <w:r w:rsidRPr="002F2F3C">
        <w:rPr>
          <w:sz w:val="22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2F2F3C">
            <w:rPr>
              <w:sz w:val="22"/>
              <w:lang w:val="en-US"/>
            </w:rPr>
            <w:t>Côte d'Ivoire</w:t>
          </w:r>
        </w:smartTag>
      </w:smartTag>
      <w:r w:rsidRPr="002F2F3C">
        <w:rPr>
          <w:sz w:val="22"/>
          <w:lang w:val="en-US"/>
        </w:rPr>
        <w:t>.</w:t>
      </w:r>
      <w:proofErr w:type="gramEnd"/>
      <w:r w:rsidRPr="002F2F3C">
        <w:rPr>
          <w:sz w:val="22"/>
          <w:lang w:val="en-US"/>
        </w:rPr>
        <w:t xml:space="preserve"> </w:t>
      </w:r>
      <w:hyperlink r:id="rId20" w:tooltip="Bulletin de la Société de pathologie exotique (1990)." w:history="1">
        <w:r w:rsidRPr="002F2F3C">
          <w:rPr>
            <w:sz w:val="22"/>
            <w:lang w:val="en-US"/>
          </w:rPr>
          <w:t xml:space="preserve">Bull Soc </w:t>
        </w:r>
        <w:proofErr w:type="spellStart"/>
        <w:r w:rsidRPr="002F2F3C">
          <w:rPr>
            <w:sz w:val="22"/>
            <w:lang w:val="en-US"/>
          </w:rPr>
          <w:t>Pathol</w:t>
        </w:r>
        <w:proofErr w:type="spellEnd"/>
        <w:r w:rsidRPr="002F2F3C">
          <w:rPr>
            <w:sz w:val="22"/>
            <w:lang w:val="en-US"/>
          </w:rPr>
          <w:t xml:space="preserve"> Exot.</w:t>
        </w:r>
      </w:hyperlink>
      <w:r w:rsidRPr="002F2F3C">
        <w:rPr>
          <w:sz w:val="22"/>
          <w:lang w:val="en-US"/>
        </w:rPr>
        <w:t>101(1):60-1.</w:t>
      </w:r>
    </w:p>
    <w:p w:rsidR="005D294B" w:rsidRDefault="005D294B" w:rsidP="005D294B">
      <w:pPr>
        <w:ind w:left="0" w:firstLine="0"/>
        <w:rPr>
          <w:sz w:val="22"/>
          <w:lang w:val="en-US"/>
        </w:rPr>
      </w:pPr>
    </w:p>
    <w:p w:rsidR="005D294B" w:rsidRPr="002F2F3C" w:rsidRDefault="005D294B" w:rsidP="005D294B">
      <w:pPr>
        <w:ind w:left="0" w:firstLine="0"/>
        <w:rPr>
          <w:sz w:val="22"/>
          <w:lang w:val="en-US"/>
        </w:rPr>
      </w:pPr>
    </w:p>
    <w:p w:rsidR="002F7C1A" w:rsidRDefault="002F7C1A" w:rsidP="005D294B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94B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D294B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4B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5D294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4B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ncbi.nlm.nih.gov/pubmed?term=%22Adoubryn%20KD%22%5BAuthor%5D" TargetMode="External"/><Relationship Id="rId18" Type="http://schemas.openxmlformats.org/officeDocument/2006/relationships/hyperlink" Target="http://www.ncbi.nlm.nih.gov/pubmed?term=%22Doukour%C3%A9%20B%22%5BAuthor%5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www.ncbi.nlm.nih.gov/pubmed?term=%22Achi%20VH%22%5BAuthor%5D" TargetMode="External"/><Relationship Id="rId17" Type="http://schemas.openxmlformats.org/officeDocument/2006/relationships/hyperlink" Target="http://www.ncbi.nlm.nih.gov/pubmed?term=%22Folquet-Amorissani%20M%22%5BAuthor%5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%22Tanon%20AK%22%5BAuthor%5D" TargetMode="External"/><Relationship Id="rId20" Type="http://schemas.openxmlformats.org/officeDocument/2006/relationships/hyperlink" Target="javascript:AL_get(this,%20'jour',%20'Bull%20Soc%20Pathol%20Exot.')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cbi.nlm.nih.gov/pubmed?term=%22Horo%20K%22%5BAuthor%5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ncbi.nlm.nih.gov/pubmed?term=%22Eholi%C3%A9%20SP%22%5BAuthor%5D" TargetMode="External"/><Relationship Id="rId10" Type="http://schemas.openxmlformats.org/officeDocument/2006/relationships/hyperlink" Target="http://www.ncbi.nlm.nih.gov/pubmed?term=%22Kouassi%20B%22%5BAuthor%5D" TargetMode="External"/><Relationship Id="rId19" Type="http://schemas.openxmlformats.org/officeDocument/2006/relationships/hyperlink" Target="http://www.ncbi.nlm.nih.gov/pubmed?term=%22Adoubryn%20KD%22%5BAuthor%5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ncbi.nlm.nih.gov/pubmed?term=%22Kakou%20ES%22%5BAuthor%5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2012-04-01T20:05:00Z</dcterms:created>
  <dcterms:modified xsi:type="dcterms:W3CDTF">2012-04-01T20:09:00Z</dcterms:modified>
</cp:coreProperties>
</file>