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39" w:rsidRPr="002C75B8" w:rsidRDefault="00470839" w:rsidP="00470839">
      <w:pPr>
        <w:ind w:left="0" w:firstLine="0"/>
        <w:rPr>
          <w:b/>
          <w:sz w:val="22"/>
          <w:u w:val="single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2C75B8">
            <w:rPr>
              <w:b/>
              <w:sz w:val="22"/>
              <w:u w:val="single"/>
              <w:lang w:val="en-GB"/>
            </w:rPr>
            <w:t>CENTRAL</w:t>
          </w:r>
        </w:smartTag>
        <w:r w:rsidRPr="002C75B8">
          <w:rPr>
            <w:b/>
            <w:sz w:val="22"/>
            <w:u w:val="single"/>
            <w:lang w:val="en-GB"/>
          </w:rPr>
          <w:t xml:space="preserve"> </w:t>
        </w:r>
        <w:smartTag w:uri="urn:schemas-microsoft-com:office:smarttags" w:element="PlaceName">
          <w:r w:rsidRPr="002C75B8">
            <w:rPr>
              <w:b/>
              <w:sz w:val="22"/>
              <w:u w:val="single"/>
              <w:lang w:val="en-GB"/>
            </w:rPr>
            <w:t>AFRICAN</w:t>
          </w:r>
        </w:smartTag>
        <w:r w:rsidRPr="002C75B8">
          <w:rPr>
            <w:b/>
            <w:sz w:val="22"/>
            <w:u w:val="single"/>
            <w:lang w:val="en-GB"/>
          </w:rPr>
          <w:t xml:space="preserve"> </w:t>
        </w:r>
        <w:smartTag w:uri="urn:schemas-microsoft-com:office:smarttags" w:element="PlaceType">
          <w:r w:rsidRPr="002C75B8">
            <w:rPr>
              <w:b/>
              <w:sz w:val="22"/>
              <w:u w:val="single"/>
              <w:lang w:val="en-GB"/>
            </w:rPr>
            <w:t>REPUBLIC</w:t>
          </w:r>
        </w:smartTag>
      </w:smartTag>
    </w:p>
    <w:p w:rsidR="00470839" w:rsidRPr="002C75B8" w:rsidRDefault="00470839" w:rsidP="00470839">
      <w:pPr>
        <w:ind w:left="0" w:firstLine="0"/>
        <w:rPr>
          <w:b/>
          <w:sz w:val="22"/>
          <w:u w:val="single"/>
          <w:lang w:val="en-GB"/>
        </w:rPr>
      </w:pP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3086100" cy="2068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39" w:rsidRDefault="00470839" w:rsidP="00470839">
      <w:pPr>
        <w:ind w:left="0" w:firstLine="0"/>
        <w:rPr>
          <w:b/>
          <w:sz w:val="22"/>
          <w:lang w:val="en-US"/>
        </w:rPr>
      </w:pPr>
    </w:p>
    <w:p w:rsidR="00470839" w:rsidRPr="002C75B8" w:rsidRDefault="00470839" w:rsidP="00470839">
      <w:pPr>
        <w:ind w:left="0" w:firstLine="0"/>
        <w:rPr>
          <w:b/>
          <w:sz w:val="22"/>
          <w:lang w:val="en-US"/>
        </w:rPr>
      </w:pPr>
    </w:p>
    <w:p w:rsidR="00470839" w:rsidRPr="002C75B8" w:rsidRDefault="00470839" w:rsidP="00470839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470839" w:rsidRPr="002C75B8" w:rsidRDefault="00470839" w:rsidP="00470839">
      <w:pPr>
        <w:ind w:left="0" w:firstLine="0"/>
        <w:rPr>
          <w:b/>
          <w:sz w:val="22"/>
          <w:lang w:val="en-US"/>
        </w:rPr>
      </w:pP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4</w:t>
      </w:r>
      <w:r>
        <w:rPr>
          <w:sz w:val="22"/>
          <w:lang w:val="en-US"/>
        </w:rPr>
        <w:t>,401,051</w:t>
      </w:r>
      <w:r w:rsidRPr="002C75B8">
        <w:rPr>
          <w:sz w:val="22"/>
          <w:lang w:val="en-US"/>
        </w:rPr>
        <w:t xml:space="preserve"> </w:t>
      </w: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0-14 years: 4</w:t>
      </w:r>
      <w:r>
        <w:rPr>
          <w:sz w:val="22"/>
          <w:lang w:val="en-US"/>
        </w:rPr>
        <w:t>0</w:t>
      </w:r>
      <w:r w:rsidRPr="002C75B8">
        <w:rPr>
          <w:sz w:val="22"/>
          <w:lang w:val="en-US"/>
        </w:rPr>
        <w:t xml:space="preserve">% </w:t>
      </w: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Rural population: 6</w:t>
      </w:r>
      <w:r>
        <w:rPr>
          <w:sz w:val="22"/>
          <w:lang w:val="en-US"/>
        </w:rPr>
        <w:t>1</w:t>
      </w:r>
      <w:r w:rsidRPr="002C75B8">
        <w:rPr>
          <w:sz w:val="22"/>
          <w:lang w:val="en-US"/>
        </w:rPr>
        <w:t xml:space="preserve">% </w:t>
      </w: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>25 a day: 62</w:t>
      </w:r>
      <w:r>
        <w:rPr>
          <w:sz w:val="22"/>
          <w:lang w:val="en-US"/>
        </w:rPr>
        <w:t>.8</w:t>
      </w:r>
      <w:r w:rsidRPr="002C75B8">
        <w:rPr>
          <w:sz w:val="22"/>
          <w:lang w:val="en-US"/>
        </w:rPr>
        <w:t>%</w:t>
      </w: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62%</w:t>
      </w: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Low income economy </w:t>
      </w: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Ranking:</w:t>
      </w:r>
      <w:r w:rsidRPr="002C75B8">
        <w:rPr>
          <w:i/>
          <w:iCs/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Low </w:t>
      </w:r>
      <w:r>
        <w:rPr>
          <w:sz w:val="22"/>
          <w:lang w:val="en-US"/>
        </w:rPr>
        <w:t>h</w:t>
      </w:r>
      <w:r w:rsidRPr="002C75B8">
        <w:rPr>
          <w:sz w:val="22"/>
          <w:lang w:val="en-US"/>
        </w:rPr>
        <w:t xml:space="preserve">uman </w:t>
      </w:r>
      <w:r>
        <w:rPr>
          <w:sz w:val="22"/>
          <w:lang w:val="en-US"/>
        </w:rPr>
        <w:t>d</w:t>
      </w:r>
      <w:r w:rsidRPr="002C75B8">
        <w:rPr>
          <w:sz w:val="22"/>
          <w:lang w:val="en-US"/>
        </w:rPr>
        <w:t>evelopment (ranking 179)</w:t>
      </w: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Per capita total expenditure on health at average exchange rate (US dollar): 1</w:t>
      </w:r>
      <w:r>
        <w:rPr>
          <w:sz w:val="22"/>
          <w:lang w:val="en-US"/>
        </w:rPr>
        <w:t>9</w:t>
      </w:r>
      <w:r w:rsidRPr="002C75B8">
        <w:rPr>
          <w:sz w:val="22"/>
          <w:lang w:val="en-US"/>
        </w:rPr>
        <w:t xml:space="preserve"> </w:t>
      </w: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Life expectancy at birth (years): 4</w:t>
      </w:r>
      <w:r>
        <w:rPr>
          <w:sz w:val="22"/>
          <w:lang w:val="en-US"/>
        </w:rPr>
        <w:t>7</w:t>
      </w: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37 </w:t>
      </w: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 </w:t>
      </w: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</w:p>
    <w:p w:rsidR="00470839" w:rsidRDefault="00470839" w:rsidP="00470839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470839" w:rsidRPr="002C75B8" w:rsidRDefault="00470839" w:rsidP="00470839">
      <w:pPr>
        <w:ind w:left="0" w:firstLine="0"/>
        <w:rPr>
          <w:b/>
          <w:sz w:val="22"/>
          <w:lang w:val="en-US"/>
        </w:rPr>
      </w:pPr>
    </w:p>
    <w:p w:rsidR="00470839" w:rsidRPr="002C75B8" w:rsidRDefault="00470839" w:rsidP="00470839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Very few data on prevalence or incidence are available. </w:t>
      </w: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</w:p>
    <w:p w:rsidR="00470839" w:rsidRPr="002C75B8" w:rsidRDefault="00470839" w:rsidP="00470839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>The first VL case was reported in 1949</w:t>
      </w:r>
      <w:r>
        <w:rPr>
          <w:sz w:val="22"/>
          <w:lang w:val="en-GB"/>
        </w:rPr>
        <w:t xml:space="preserve"> [1].</w:t>
      </w:r>
      <w:r w:rsidRPr="002C75B8">
        <w:rPr>
          <w:sz w:val="22"/>
          <w:lang w:val="en-GB"/>
        </w:rPr>
        <w:t xml:space="preserve"> </w:t>
      </w:r>
      <w:r>
        <w:rPr>
          <w:sz w:val="22"/>
          <w:lang w:val="en-GB"/>
        </w:rPr>
        <w:t>A</w:t>
      </w:r>
      <w:r w:rsidRPr="002C75B8">
        <w:rPr>
          <w:sz w:val="22"/>
          <w:lang w:val="en-GB"/>
        </w:rPr>
        <w:t xml:space="preserve"> second parasitologically proven case was seen in a child who seemed to have acquired the disease in the </w:t>
      </w:r>
      <w:smartTag w:uri="urn:schemas-microsoft-com:office:smarttags" w:element="City">
        <w:smartTag w:uri="urn:schemas-microsoft-com:office:smarttags" w:element="place">
          <w:r w:rsidRPr="002C75B8">
            <w:rPr>
              <w:sz w:val="22"/>
              <w:lang w:val="en-GB"/>
            </w:rPr>
            <w:t>Bangui</w:t>
          </w:r>
        </w:smartTag>
      </w:smartTag>
      <w:r w:rsidRPr="002C75B8">
        <w:rPr>
          <w:sz w:val="22"/>
          <w:lang w:val="en-GB"/>
        </w:rPr>
        <w:t xml:space="preserve"> area; 3 other cases have been noted since 1969 </w:t>
      </w:r>
      <w:r>
        <w:rPr>
          <w:sz w:val="22"/>
          <w:lang w:val="en-GB"/>
        </w:rPr>
        <w:t>[2]</w:t>
      </w:r>
      <w:r w:rsidRPr="002C75B8">
        <w:rPr>
          <w:sz w:val="22"/>
          <w:lang w:val="en-GB"/>
        </w:rPr>
        <w:t xml:space="preserve">. </w:t>
      </w:r>
      <w:r>
        <w:rPr>
          <w:sz w:val="22"/>
          <w:lang w:val="en-GB"/>
        </w:rPr>
        <w:t>Since then, no more cases have been reported.</w:t>
      </w:r>
    </w:p>
    <w:p w:rsidR="00470839" w:rsidRPr="002C75B8" w:rsidRDefault="00470839" w:rsidP="00470839">
      <w:pPr>
        <w:ind w:left="0" w:firstLine="0"/>
        <w:rPr>
          <w:bCs/>
          <w:sz w:val="22"/>
          <w:lang w:val="en-US"/>
        </w:rPr>
      </w:pPr>
    </w:p>
    <w:p w:rsidR="00470839" w:rsidRPr="002F2F3C" w:rsidRDefault="00470839" w:rsidP="00470839">
      <w:pPr>
        <w:ind w:left="0" w:firstLine="0"/>
        <w:rPr>
          <w:sz w:val="22"/>
          <w:lang w:val="en-US"/>
        </w:rPr>
      </w:pPr>
      <w:r w:rsidRPr="002C75B8">
        <w:rPr>
          <w:sz w:val="22"/>
          <w:lang w:val="en-GB"/>
        </w:rPr>
        <w:t xml:space="preserve">Sporadic cases of CL have been reported in the past from the northwest and southwest regions of the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GB"/>
            </w:rPr>
            <w:t>Central African Republic</w:t>
          </w:r>
        </w:smartTag>
      </w:smartTag>
      <w:r w:rsidRPr="002C75B8">
        <w:rPr>
          <w:sz w:val="22"/>
          <w:lang w:val="en-GB"/>
        </w:rPr>
        <w:t xml:space="preserve"> </w:t>
      </w:r>
      <w:r>
        <w:rPr>
          <w:sz w:val="22"/>
          <w:lang w:val="en-GB"/>
        </w:rPr>
        <w:t>[1]</w:t>
      </w:r>
      <w:r w:rsidRPr="002C75B8">
        <w:rPr>
          <w:sz w:val="22"/>
          <w:lang w:val="en-GB"/>
        </w:rPr>
        <w:t xml:space="preserve">. More recently, no cases have been reported. In </w:t>
      </w:r>
      <w:smartTag w:uri="urn:schemas-microsoft-com:office:smarttags" w:element="metricconverter">
        <w:smartTagPr>
          <w:attr w:name="ProductID" w:val="2003, a"/>
        </w:smartTagPr>
        <w:r w:rsidRPr="002C75B8">
          <w:rPr>
            <w:sz w:val="22"/>
            <w:lang w:val="en-GB"/>
          </w:rPr>
          <w:t>2003, a</w:t>
        </w:r>
      </w:smartTag>
      <w:r w:rsidRPr="002C75B8">
        <w:rPr>
          <w:sz w:val="22"/>
          <w:lang w:val="en-GB"/>
        </w:rPr>
        <w:t xml:space="preserve"> case was imported from neighbouring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GB"/>
            </w:rPr>
            <w:t>Chad</w:t>
          </w:r>
        </w:smartTag>
      </w:smartTag>
      <w:r w:rsidRPr="002C75B8">
        <w:rPr>
          <w:sz w:val="22"/>
          <w:lang w:val="en-GB"/>
        </w:rPr>
        <w:t xml:space="preserve"> </w:t>
      </w:r>
      <w:r>
        <w:rPr>
          <w:sz w:val="22"/>
          <w:lang w:val="en-GB"/>
        </w:rPr>
        <w:t>[3]</w:t>
      </w:r>
      <w:r w:rsidRPr="002C75B8">
        <w:rPr>
          <w:sz w:val="22"/>
          <w:lang w:val="en-GB"/>
        </w:rPr>
        <w:t xml:space="preserve">. In 2007, there was a suspected case imported from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ersonName">
            <w:r w:rsidRPr="002C75B8">
              <w:rPr>
                <w:sz w:val="22"/>
                <w:lang w:val="en-GB"/>
              </w:rPr>
              <w:t>Sudan</w:t>
            </w:r>
          </w:smartTag>
        </w:smartTag>
      </w:smartTag>
      <w:r w:rsidRPr="002C75B8">
        <w:rPr>
          <w:sz w:val="22"/>
          <w:lang w:val="en-GB"/>
        </w:rPr>
        <w:t xml:space="preserve">, and in </w:t>
      </w:r>
      <w:r w:rsidRPr="002C75B8">
        <w:rPr>
          <w:sz w:val="22"/>
          <w:lang w:val="en-US"/>
        </w:rPr>
        <w:t xml:space="preserve">2009, an </w:t>
      </w:r>
      <w:r w:rsidRPr="002F2F3C">
        <w:rPr>
          <w:sz w:val="22"/>
          <w:lang w:val="en-US"/>
        </w:rPr>
        <w:t xml:space="preserve">unconfirmed CL case in a soldier from </w:t>
      </w:r>
      <w:proofErr w:type="spellStart"/>
      <w:r w:rsidRPr="002F2F3C">
        <w:rPr>
          <w:sz w:val="22"/>
          <w:lang w:val="en-US"/>
        </w:rPr>
        <w:t>Birao</w:t>
      </w:r>
      <w:proofErr w:type="spellEnd"/>
      <w:r w:rsidRPr="002F2F3C">
        <w:rPr>
          <w:sz w:val="22"/>
          <w:lang w:val="en-US"/>
        </w:rPr>
        <w:t xml:space="preserve"> region was treated successfully with antimonials </w:t>
      </w:r>
      <w:r w:rsidRPr="002F2F3C">
        <w:rPr>
          <w:bCs/>
          <w:sz w:val="22"/>
          <w:lang w:val="en-US"/>
        </w:rPr>
        <w:t>(WHO, unpublished data)</w:t>
      </w:r>
      <w:r w:rsidRPr="002F2F3C">
        <w:rPr>
          <w:sz w:val="22"/>
          <w:lang w:val="en-US"/>
        </w:rPr>
        <w:t xml:space="preserve">. More cases of CL are </w:t>
      </w:r>
      <w:r w:rsidRPr="002F2F3C">
        <w:rPr>
          <w:sz w:val="22"/>
          <w:lang w:val="en-GB"/>
        </w:rPr>
        <w:t>suspected</w:t>
      </w:r>
      <w:r w:rsidRPr="002F2F3C">
        <w:rPr>
          <w:sz w:val="22"/>
          <w:lang w:val="en-US"/>
        </w:rPr>
        <w:t xml:space="preserve"> to be present among </w:t>
      </w:r>
      <w:r>
        <w:rPr>
          <w:sz w:val="22"/>
          <w:lang w:val="en-US"/>
        </w:rPr>
        <w:t xml:space="preserve">the </w:t>
      </w:r>
      <w:r w:rsidRPr="002F2F3C">
        <w:rPr>
          <w:sz w:val="22"/>
          <w:lang w:val="en-US"/>
        </w:rPr>
        <w:t xml:space="preserve">military in this region. </w:t>
      </w:r>
    </w:p>
    <w:p w:rsidR="00470839" w:rsidRPr="002F2F3C" w:rsidRDefault="00470839" w:rsidP="00470839">
      <w:pPr>
        <w:ind w:left="0" w:firstLine="0"/>
        <w:rPr>
          <w:sz w:val="22"/>
          <w:lang w:val="en-US"/>
        </w:rPr>
      </w:pPr>
    </w:p>
    <w:p w:rsidR="00470839" w:rsidRDefault="00470839" w:rsidP="00470839">
      <w:pPr>
        <w:ind w:left="0" w:firstLine="0"/>
        <w:rPr>
          <w:sz w:val="22"/>
          <w:lang w:val="en-US"/>
        </w:rPr>
      </w:pPr>
    </w:p>
    <w:p w:rsidR="00470839" w:rsidRDefault="00470839" w:rsidP="00470839">
      <w:pPr>
        <w:ind w:left="0" w:firstLine="0"/>
        <w:rPr>
          <w:sz w:val="22"/>
          <w:lang w:val="en-US"/>
        </w:rPr>
      </w:pP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</w:p>
    <w:p w:rsidR="00470839" w:rsidRDefault="00470839" w:rsidP="00470839">
      <w:pPr>
        <w:ind w:left="0" w:firstLine="0"/>
        <w:rPr>
          <w:b/>
          <w:sz w:val="22"/>
          <w:lang w:val="en-GB"/>
        </w:rPr>
      </w:pPr>
    </w:p>
    <w:p w:rsidR="00470839" w:rsidRDefault="00470839" w:rsidP="00470839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lastRenderedPageBreak/>
        <w:t>PARASITOLOGICAL INFORMATION</w:t>
      </w:r>
    </w:p>
    <w:p w:rsidR="00470839" w:rsidRPr="002C75B8" w:rsidRDefault="00470839" w:rsidP="00470839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470839" w:rsidRPr="002C75B8" w:rsidTr="00A7768B">
        <w:tc>
          <w:tcPr>
            <w:tcW w:w="2394" w:type="dxa"/>
            <w:vAlign w:val="center"/>
          </w:tcPr>
          <w:p w:rsidR="00470839" w:rsidRPr="002C75B8" w:rsidRDefault="00470839" w:rsidP="00A7768B">
            <w:pPr>
              <w:ind w:left="0" w:firstLine="0"/>
              <w:rPr>
                <w:sz w:val="22"/>
                <w:lang w:val="en-U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94" w:type="dxa"/>
            <w:vAlign w:val="center"/>
          </w:tcPr>
          <w:p w:rsidR="00470839" w:rsidRPr="002C75B8" w:rsidRDefault="00470839" w:rsidP="00A7768B">
            <w:pPr>
              <w:ind w:left="0" w:firstLine="0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394" w:type="dxa"/>
            <w:vAlign w:val="center"/>
          </w:tcPr>
          <w:p w:rsidR="00470839" w:rsidRPr="002C75B8" w:rsidRDefault="00470839" w:rsidP="00A7768B">
            <w:pPr>
              <w:ind w:left="0" w:firstLine="0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94" w:type="dxa"/>
            <w:vAlign w:val="center"/>
          </w:tcPr>
          <w:p w:rsidR="00470839" w:rsidRPr="002C75B8" w:rsidRDefault="00470839" w:rsidP="00A7768B">
            <w:pPr>
              <w:ind w:left="0" w:firstLine="0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470839" w:rsidRPr="002C75B8" w:rsidTr="00A7768B">
        <w:tc>
          <w:tcPr>
            <w:tcW w:w="2394" w:type="dxa"/>
            <w:vAlign w:val="center"/>
          </w:tcPr>
          <w:p w:rsidR="00470839" w:rsidRPr="002C75B8" w:rsidRDefault="00470839" w:rsidP="00A7768B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2394" w:type="dxa"/>
            <w:vAlign w:val="center"/>
          </w:tcPr>
          <w:p w:rsidR="00470839" w:rsidRPr="002C75B8" w:rsidRDefault="00470839" w:rsidP="00A7768B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ZVL</w:t>
            </w:r>
          </w:p>
        </w:tc>
        <w:tc>
          <w:tcPr>
            <w:tcW w:w="2394" w:type="dxa"/>
            <w:vAlign w:val="center"/>
          </w:tcPr>
          <w:p w:rsidR="00470839" w:rsidRPr="00D60959" w:rsidRDefault="00470839" w:rsidP="00A7768B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6095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394" w:type="dxa"/>
            <w:vAlign w:val="center"/>
          </w:tcPr>
          <w:p w:rsidR="00470839" w:rsidRPr="00D60959" w:rsidRDefault="00470839" w:rsidP="00A7768B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60959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</w:tbl>
    <w:p w:rsidR="00470839" w:rsidRDefault="00470839" w:rsidP="00470839">
      <w:pPr>
        <w:ind w:left="0" w:firstLine="0"/>
        <w:rPr>
          <w:sz w:val="22"/>
          <w:lang w:val="en-US"/>
        </w:rPr>
      </w:pP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</w:p>
    <w:p w:rsidR="00470839" w:rsidRDefault="00470839" w:rsidP="00470839">
      <w:pPr>
        <w:ind w:left="0" w:firstLine="0"/>
        <w:rPr>
          <w:b/>
          <w:sz w:val="22"/>
          <w:lang w:val="es-ES"/>
        </w:rPr>
      </w:pPr>
      <w:r w:rsidRPr="002C75B8">
        <w:rPr>
          <w:b/>
          <w:sz w:val="22"/>
          <w:lang w:val="es-ES"/>
        </w:rPr>
        <w:t xml:space="preserve">MAPS AND TRENDS  </w:t>
      </w:r>
    </w:p>
    <w:p w:rsidR="00470839" w:rsidRDefault="00470839" w:rsidP="00470839">
      <w:pPr>
        <w:ind w:left="0" w:firstLine="0"/>
        <w:rPr>
          <w:b/>
          <w:sz w:val="22"/>
          <w:lang w:val="es-ES"/>
        </w:rPr>
      </w:pPr>
    </w:p>
    <w:p w:rsidR="00470839" w:rsidRDefault="00470839" w:rsidP="00470839">
      <w:pPr>
        <w:ind w:left="0" w:firstLine="0"/>
        <w:rPr>
          <w:sz w:val="22"/>
          <w:lang w:val="en-US"/>
        </w:rPr>
      </w:pPr>
      <w:r>
        <w:rPr>
          <w:b/>
          <w:sz w:val="22"/>
          <w:lang w:val="es-ES"/>
        </w:rPr>
        <w:t>Cutaneous leishmaniasis</w:t>
      </w:r>
    </w:p>
    <w:p w:rsidR="00470839" w:rsidRDefault="00470839" w:rsidP="00470839">
      <w:pPr>
        <w:ind w:left="0" w:firstLine="0"/>
        <w:rPr>
          <w:sz w:val="22"/>
          <w:lang w:val="en-US"/>
        </w:rPr>
      </w:pPr>
    </w:p>
    <w:p w:rsidR="00470839" w:rsidRDefault="00470839" w:rsidP="00470839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3657600" cy="2451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39" w:rsidRDefault="00470839" w:rsidP="00470839">
      <w:pPr>
        <w:ind w:left="0" w:firstLine="0"/>
        <w:rPr>
          <w:sz w:val="22"/>
          <w:lang w:val="en-US"/>
        </w:rPr>
      </w:pPr>
    </w:p>
    <w:p w:rsidR="00470839" w:rsidRPr="002C75B8" w:rsidRDefault="00470839" w:rsidP="00470839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 w:rsidRPr="002C75B8">
        <w:rPr>
          <w:rFonts w:eastAsia="Times New Roman"/>
          <w:b/>
          <w:bCs/>
          <w:sz w:val="22"/>
          <w:lang w:val="en-US" w:eastAsia="es-ES"/>
        </w:rPr>
        <w:t>CONTROL</w:t>
      </w:r>
    </w:p>
    <w:p w:rsidR="00470839" w:rsidRPr="002C75B8" w:rsidRDefault="00470839" w:rsidP="00470839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470839" w:rsidRPr="002C75B8" w:rsidRDefault="00470839" w:rsidP="00470839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GB" w:eastAsia="es-ES"/>
        </w:rPr>
        <w:t xml:space="preserve">The notification of leishmaniasis is not mandatory in the country and there is no </w:t>
      </w:r>
      <w:r w:rsidRPr="002C75B8">
        <w:rPr>
          <w:rFonts w:eastAsia="Times New Roman"/>
          <w:sz w:val="22"/>
          <w:lang w:val="en-US" w:eastAsia="es-ES"/>
        </w:rPr>
        <w:t xml:space="preserve">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 xml:space="preserve">eishmaniasis control program. There is no leishmaniasis vector control program and no leishmaniasis reservoir control program. </w:t>
      </w:r>
    </w:p>
    <w:p w:rsidR="00470839" w:rsidRPr="002C75B8" w:rsidRDefault="00470839" w:rsidP="00470839">
      <w:pPr>
        <w:ind w:left="0" w:firstLine="0"/>
        <w:rPr>
          <w:rFonts w:eastAsia="Times New Roman"/>
          <w:sz w:val="22"/>
          <w:lang w:val="en-US" w:eastAsia="es-ES"/>
        </w:rPr>
      </w:pPr>
    </w:p>
    <w:p w:rsidR="00470839" w:rsidRPr="002C75B8" w:rsidRDefault="00470839" w:rsidP="00470839">
      <w:pPr>
        <w:ind w:left="0" w:firstLine="0"/>
        <w:rPr>
          <w:rFonts w:eastAsia="Times New Roman"/>
          <w:sz w:val="22"/>
          <w:lang w:val="en-US" w:eastAsia="es-ES"/>
        </w:rPr>
      </w:pPr>
    </w:p>
    <w:p w:rsidR="00470839" w:rsidRPr="002C75B8" w:rsidRDefault="00470839" w:rsidP="00470839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470839" w:rsidRPr="002C75B8" w:rsidRDefault="00470839" w:rsidP="00470839">
      <w:pPr>
        <w:ind w:left="0" w:firstLine="0"/>
        <w:rPr>
          <w:b/>
          <w:sz w:val="22"/>
          <w:lang w:val="en-US"/>
        </w:rPr>
      </w:pPr>
    </w:p>
    <w:p w:rsidR="00470839" w:rsidRPr="002C75B8" w:rsidRDefault="00470839" w:rsidP="00470839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GB"/>
        </w:rPr>
        <w:t xml:space="preserve">There are no provisions for diagnosis and treatment of leishmaniasis. In </w:t>
      </w:r>
      <w:smartTag w:uri="urn:schemas-microsoft-com:office:smarttags" w:element="metricconverter">
        <w:smartTagPr>
          <w:attr w:name="ProductID" w:val="2009, a"/>
        </w:smartTagPr>
        <w:r w:rsidRPr="002C75B8">
          <w:rPr>
            <w:bCs/>
            <w:sz w:val="22"/>
            <w:lang w:val="en-GB"/>
          </w:rPr>
          <w:t>2009, a</w:t>
        </w:r>
      </w:smartTag>
      <w:r w:rsidRPr="002C75B8">
        <w:rPr>
          <w:bCs/>
          <w:sz w:val="22"/>
          <w:lang w:val="en-GB"/>
        </w:rPr>
        <w:t xml:space="preserve"> soldier suspected of having CL had to obtain antimonials (Glucantime</w:t>
      </w:r>
      <w:r>
        <w:rPr>
          <w:bCs/>
          <w:sz w:val="22"/>
          <w:lang w:val="en-GB"/>
        </w:rPr>
        <w:t>,</w:t>
      </w:r>
      <w:r w:rsidRPr="002C75B8">
        <w:rPr>
          <w:bCs/>
          <w:sz w:val="22"/>
          <w:lang w:val="en-GB"/>
        </w:rPr>
        <w:t xml:space="preserve"> </w:t>
      </w:r>
      <w:proofErr w:type="spellStart"/>
      <w:r>
        <w:rPr>
          <w:bCs/>
          <w:sz w:val="22"/>
          <w:lang w:val="en-GB"/>
        </w:rPr>
        <w:t>Sanofi</w:t>
      </w:r>
      <w:proofErr w:type="spellEnd"/>
      <w:r w:rsidRPr="002C75B8">
        <w:rPr>
          <w:bCs/>
          <w:sz w:val="22"/>
          <w:lang w:val="en-GB"/>
        </w:rPr>
        <w:t xml:space="preserve">)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bCs/>
              <w:sz w:val="22"/>
              <w:lang w:val="en-GB"/>
            </w:rPr>
            <w:t>Chad</w:t>
          </w:r>
        </w:smartTag>
      </w:smartTag>
      <w:r w:rsidRPr="002C75B8">
        <w:rPr>
          <w:bCs/>
          <w:sz w:val="22"/>
          <w:lang w:val="en-GB"/>
        </w:rPr>
        <w:t xml:space="preserve">. </w:t>
      </w:r>
    </w:p>
    <w:p w:rsidR="00470839" w:rsidRPr="002C75B8" w:rsidRDefault="00470839" w:rsidP="00470839">
      <w:pPr>
        <w:ind w:left="0" w:firstLine="0"/>
        <w:rPr>
          <w:b/>
          <w:bCs/>
          <w:sz w:val="22"/>
          <w:lang w:val="en-US"/>
        </w:rPr>
      </w:pPr>
    </w:p>
    <w:p w:rsidR="00470839" w:rsidRPr="002C75B8" w:rsidRDefault="00470839" w:rsidP="00470839">
      <w:pPr>
        <w:ind w:left="0" w:firstLine="0"/>
        <w:rPr>
          <w:b/>
          <w:bCs/>
          <w:sz w:val="22"/>
          <w:lang w:val="en-US"/>
        </w:rPr>
      </w:pPr>
    </w:p>
    <w:p w:rsidR="00470839" w:rsidRPr="002C75B8" w:rsidRDefault="00470839" w:rsidP="00470839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No information</w:t>
      </w:r>
      <w:r>
        <w:rPr>
          <w:sz w:val="22"/>
          <w:lang w:val="en-US"/>
        </w:rPr>
        <w:t>.</w:t>
      </w:r>
    </w:p>
    <w:p w:rsidR="00470839" w:rsidRDefault="00470839" w:rsidP="00470839">
      <w:pPr>
        <w:ind w:left="0" w:firstLine="0"/>
        <w:rPr>
          <w:b/>
          <w:sz w:val="22"/>
          <w:lang w:val="en-US"/>
        </w:rPr>
      </w:pPr>
    </w:p>
    <w:p w:rsidR="00470839" w:rsidRDefault="00470839" w:rsidP="00470839">
      <w:pPr>
        <w:ind w:left="0" w:firstLine="0"/>
        <w:rPr>
          <w:b/>
          <w:sz w:val="22"/>
          <w:lang w:val="en-US"/>
        </w:rPr>
      </w:pPr>
    </w:p>
    <w:p w:rsidR="00470839" w:rsidRDefault="00470839" w:rsidP="00470839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ACCESS TO DRUGS</w:t>
      </w:r>
      <w:r w:rsidRPr="002C75B8">
        <w:rPr>
          <w:sz w:val="22"/>
          <w:lang w:val="en-US"/>
        </w:rPr>
        <w:t xml:space="preserve"> </w:t>
      </w:r>
    </w:p>
    <w:p w:rsidR="00470839" w:rsidRPr="002C75B8" w:rsidRDefault="00470839" w:rsidP="00470839">
      <w:pPr>
        <w:ind w:left="0" w:firstLine="0"/>
        <w:rPr>
          <w:sz w:val="22"/>
          <w:lang w:val="en-US"/>
        </w:rPr>
      </w:pPr>
    </w:p>
    <w:p w:rsidR="00470839" w:rsidRDefault="00470839" w:rsidP="00470839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Amphotericin B and </w:t>
      </w:r>
      <w:proofErr w:type="spellStart"/>
      <w:r w:rsidRPr="002C75B8">
        <w:rPr>
          <w:sz w:val="22"/>
          <w:lang w:val="en-GB"/>
        </w:rPr>
        <w:t>pentamidine</w:t>
      </w:r>
      <w:proofErr w:type="spellEnd"/>
      <w:r w:rsidRPr="002C75B8">
        <w:rPr>
          <w:sz w:val="22"/>
          <w:lang w:val="en-GB"/>
        </w:rPr>
        <w:t xml:space="preserve"> are included in the National Essential Drug List (but not for leishmaniasis). No antimonials are registered. </w:t>
      </w:r>
    </w:p>
    <w:p w:rsidR="00470839" w:rsidRDefault="00470839" w:rsidP="00470839">
      <w:pPr>
        <w:ind w:left="0" w:firstLine="0"/>
        <w:rPr>
          <w:sz w:val="22"/>
          <w:lang w:val="en-US"/>
        </w:rPr>
      </w:pPr>
    </w:p>
    <w:p w:rsidR="00470839" w:rsidRDefault="00470839" w:rsidP="00470839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lastRenderedPageBreak/>
        <w:t>SOURCES OF INFORMATION</w:t>
      </w:r>
    </w:p>
    <w:p w:rsidR="00470839" w:rsidRPr="002C75B8" w:rsidRDefault="00470839" w:rsidP="00470839">
      <w:pPr>
        <w:ind w:left="0" w:firstLine="0"/>
        <w:rPr>
          <w:b/>
          <w:sz w:val="22"/>
          <w:u w:val="single"/>
          <w:lang w:val="en-US"/>
        </w:rPr>
      </w:pPr>
    </w:p>
    <w:p w:rsidR="00470839" w:rsidRPr="00545799" w:rsidRDefault="00470839" w:rsidP="00470839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i/>
          <w:iCs/>
          <w:lang w:val="en-GB"/>
        </w:rPr>
      </w:pPr>
      <w:r w:rsidRPr="00545799">
        <w:rPr>
          <w:rFonts w:ascii="Arial" w:hAnsi="Arial" w:cs="Arial"/>
          <w:lang w:val="en-US"/>
        </w:rPr>
        <w:t xml:space="preserve">Dr Bernard </w:t>
      </w:r>
      <w:proofErr w:type="spellStart"/>
      <w:r w:rsidRPr="00545799">
        <w:rPr>
          <w:rFonts w:ascii="Arial" w:hAnsi="Arial" w:cs="Arial"/>
          <w:lang w:val="en-US"/>
        </w:rPr>
        <w:t>Boua</w:t>
      </w:r>
      <w:proofErr w:type="spellEnd"/>
      <w:r w:rsidRPr="00545799">
        <w:rPr>
          <w:rFonts w:ascii="Arial" w:hAnsi="Arial" w:cs="Arial"/>
          <w:lang w:val="en-US"/>
        </w:rPr>
        <w:t xml:space="preserve">. </w:t>
      </w:r>
      <w:r w:rsidRPr="00545799">
        <w:rPr>
          <w:rFonts w:ascii="Arial" w:hAnsi="Arial" w:cs="Arial"/>
          <w:lang w:val="fr-FR"/>
        </w:rPr>
        <w:t xml:space="preserve">Programme national de lutte contre les maladies tropicales négligées en République Centrafricaine, </w:t>
      </w:r>
      <w:proofErr w:type="spellStart"/>
      <w:r w:rsidRPr="00545799">
        <w:rPr>
          <w:rFonts w:ascii="Arial" w:hAnsi="Arial" w:cs="Arial"/>
          <w:lang w:val="fr-FR"/>
        </w:rPr>
        <w:t>Ministry</w:t>
      </w:r>
      <w:proofErr w:type="spellEnd"/>
      <w:r w:rsidRPr="00545799">
        <w:rPr>
          <w:rFonts w:ascii="Arial" w:hAnsi="Arial" w:cs="Arial"/>
          <w:lang w:val="fr-FR"/>
        </w:rPr>
        <w:t xml:space="preserve"> of </w:t>
      </w:r>
      <w:proofErr w:type="spellStart"/>
      <w:r w:rsidRPr="00545799">
        <w:rPr>
          <w:rFonts w:ascii="Arial" w:hAnsi="Arial" w:cs="Arial"/>
          <w:lang w:val="fr-FR"/>
        </w:rPr>
        <w:t>Health</w:t>
      </w:r>
      <w:proofErr w:type="spellEnd"/>
      <w:r w:rsidRPr="00545799">
        <w:rPr>
          <w:rFonts w:ascii="Arial" w:hAnsi="Arial" w:cs="Arial"/>
          <w:lang w:val="fr-FR"/>
        </w:rPr>
        <w:t xml:space="preserve">. </w:t>
      </w:r>
      <w:r w:rsidRPr="00545799">
        <w:rPr>
          <w:rFonts w:ascii="Arial" w:hAnsi="Arial" w:cs="Arial"/>
          <w:i/>
          <w:iCs/>
          <w:lang w:val="en-GB"/>
        </w:rPr>
        <w:t xml:space="preserve">Consultative Meeting </w:t>
      </w:r>
      <w:r>
        <w:rPr>
          <w:rFonts w:ascii="Arial" w:hAnsi="Arial" w:cs="Arial"/>
          <w:i/>
          <w:iCs/>
          <w:lang w:val="en-GB"/>
        </w:rPr>
        <w:t>on t</w:t>
      </w:r>
      <w:r w:rsidRPr="00545799">
        <w:rPr>
          <w:rFonts w:ascii="Arial" w:hAnsi="Arial" w:cs="Arial"/>
          <w:i/>
          <w:iCs/>
          <w:lang w:val="en-GB"/>
        </w:rPr>
        <w:t>he Control of Leishmaniasis in the African Region WHO/AFRO Addis Ababa, 23-25 Feb 2010</w:t>
      </w:r>
      <w:r>
        <w:rPr>
          <w:rFonts w:ascii="Arial" w:hAnsi="Arial" w:cs="Arial"/>
          <w:i/>
          <w:iCs/>
          <w:lang w:val="en-GB"/>
        </w:rPr>
        <w:t>.</w:t>
      </w:r>
    </w:p>
    <w:p w:rsidR="00470839" w:rsidRPr="00545799" w:rsidRDefault="00470839" w:rsidP="00470839">
      <w:pPr>
        <w:ind w:left="0" w:firstLine="0"/>
        <w:rPr>
          <w:sz w:val="22"/>
          <w:lang w:val="en-GB"/>
        </w:rPr>
      </w:pPr>
      <w:r w:rsidRPr="00545799">
        <w:rPr>
          <w:sz w:val="22"/>
          <w:lang w:val="en-GB"/>
        </w:rPr>
        <w:t xml:space="preserve"> </w:t>
      </w:r>
    </w:p>
    <w:p w:rsidR="00470839" w:rsidRPr="00545799" w:rsidRDefault="00470839" w:rsidP="00470839">
      <w:pPr>
        <w:ind w:left="0" w:firstLine="0"/>
        <w:rPr>
          <w:sz w:val="22"/>
          <w:lang w:val="en-GB"/>
        </w:rPr>
      </w:pPr>
    </w:p>
    <w:p w:rsidR="00470839" w:rsidRPr="00545799" w:rsidRDefault="00470839" w:rsidP="00470839">
      <w:pPr>
        <w:ind w:left="0" w:firstLine="0"/>
        <w:rPr>
          <w:sz w:val="22"/>
          <w:lang w:val="en-GB"/>
        </w:rPr>
      </w:pPr>
    </w:p>
    <w:p w:rsidR="00470839" w:rsidRPr="00545799" w:rsidRDefault="00470839" w:rsidP="00470839">
      <w:pPr>
        <w:ind w:left="0" w:firstLine="0"/>
        <w:rPr>
          <w:sz w:val="22"/>
          <w:lang w:val="en-GB"/>
        </w:rPr>
      </w:pPr>
    </w:p>
    <w:p w:rsidR="00470839" w:rsidRPr="00D60959" w:rsidRDefault="00470839" w:rsidP="00470839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>1. Desjeux P</w:t>
      </w:r>
      <w:r w:rsidRPr="00D60959">
        <w:rPr>
          <w:sz w:val="22"/>
          <w:lang w:val="en-US"/>
        </w:rPr>
        <w:t xml:space="preserve"> </w:t>
      </w:r>
      <w:r>
        <w:rPr>
          <w:sz w:val="22"/>
          <w:lang w:val="en-US"/>
        </w:rPr>
        <w:t>(</w:t>
      </w:r>
      <w:r w:rsidRPr="00D60959">
        <w:rPr>
          <w:sz w:val="22"/>
          <w:lang w:val="en-US"/>
        </w:rPr>
        <w:t>1991</w:t>
      </w:r>
      <w:r>
        <w:rPr>
          <w:sz w:val="22"/>
          <w:lang w:val="en-US"/>
        </w:rPr>
        <w:t>)</w:t>
      </w:r>
      <w:r w:rsidRPr="00D60959">
        <w:rPr>
          <w:sz w:val="22"/>
          <w:lang w:val="en-US"/>
        </w:rPr>
        <w:t xml:space="preserve"> Information on the epidemiology and control of the leishmaniases by country or territory. </w:t>
      </w:r>
      <w:proofErr w:type="gramStart"/>
      <w:r w:rsidRPr="00D60959">
        <w:rPr>
          <w:sz w:val="22"/>
          <w:lang w:val="en-US"/>
        </w:rPr>
        <w:t>World Health Organization.</w:t>
      </w:r>
      <w:proofErr w:type="gramEnd"/>
      <w:r w:rsidRPr="00D60959">
        <w:rPr>
          <w:sz w:val="22"/>
          <w:lang w:val="en-US"/>
        </w:rPr>
        <w:t xml:space="preserve"> WHO/LEISH/91.30</w:t>
      </w:r>
      <w:r>
        <w:rPr>
          <w:sz w:val="22"/>
          <w:lang w:val="en-US"/>
        </w:rPr>
        <w:t>.</w:t>
      </w:r>
    </w:p>
    <w:p w:rsidR="00470839" w:rsidRPr="00D60959" w:rsidRDefault="00470839" w:rsidP="00470839">
      <w:pPr>
        <w:ind w:left="0" w:firstLine="0"/>
        <w:rPr>
          <w:sz w:val="22"/>
          <w:lang w:val="en-US"/>
        </w:rPr>
      </w:pPr>
    </w:p>
    <w:p w:rsidR="00470839" w:rsidRPr="00D60959" w:rsidRDefault="00470839" w:rsidP="00470839">
      <w:pPr>
        <w:ind w:left="0" w:firstLine="0"/>
        <w:rPr>
          <w:sz w:val="22"/>
          <w:lang w:val="en-US"/>
        </w:rPr>
      </w:pPr>
      <w:r w:rsidRPr="00D60959">
        <w:rPr>
          <w:sz w:val="22"/>
          <w:lang w:val="en-US"/>
        </w:rPr>
        <w:t xml:space="preserve">2. </w:t>
      </w:r>
      <w:proofErr w:type="spellStart"/>
      <w:r w:rsidRPr="00D60959">
        <w:rPr>
          <w:sz w:val="22"/>
          <w:lang w:val="en-US"/>
        </w:rPr>
        <w:t>Cagnard</w:t>
      </w:r>
      <w:proofErr w:type="spellEnd"/>
      <w:r w:rsidRPr="00D60959">
        <w:rPr>
          <w:sz w:val="22"/>
          <w:lang w:val="en-US"/>
        </w:rPr>
        <w:t xml:space="preserve"> V, </w:t>
      </w:r>
      <w:proofErr w:type="spellStart"/>
      <w:r w:rsidRPr="00D60959">
        <w:rPr>
          <w:sz w:val="22"/>
          <w:lang w:val="en-US"/>
        </w:rPr>
        <w:t>Lindrec</w:t>
      </w:r>
      <w:proofErr w:type="spellEnd"/>
      <w:r w:rsidRPr="00D60959">
        <w:rPr>
          <w:sz w:val="22"/>
          <w:lang w:val="en-US"/>
        </w:rPr>
        <w:t xml:space="preserve"> A</w:t>
      </w:r>
      <w:r>
        <w:rPr>
          <w:sz w:val="22"/>
          <w:lang w:val="en-US"/>
        </w:rPr>
        <w:t xml:space="preserve"> (1969)</w:t>
      </w:r>
      <w:r w:rsidRPr="00D60959">
        <w:rPr>
          <w:sz w:val="22"/>
          <w:lang w:val="en-US"/>
        </w:rPr>
        <w:t xml:space="preserve">. </w:t>
      </w:r>
      <w:proofErr w:type="gramStart"/>
      <w:r w:rsidRPr="00D60959">
        <w:rPr>
          <w:sz w:val="22"/>
          <w:lang w:val="en-US"/>
        </w:rPr>
        <w:t xml:space="preserve">A case of visceral leishmaniasis in </w:t>
      </w:r>
      <w:smartTag w:uri="urn:schemas-microsoft-com:office:smarttags" w:element="place">
        <w:smartTag w:uri="urn:schemas-microsoft-com:office:smarttags" w:element="City">
          <w:r w:rsidRPr="00D60959">
            <w:rPr>
              <w:sz w:val="22"/>
              <w:lang w:val="en-US"/>
            </w:rPr>
            <w:t>Bangui</w:t>
          </w:r>
        </w:smartTag>
        <w:r w:rsidRPr="00D60959">
          <w:rPr>
            <w:sz w:val="22"/>
            <w:lang w:val="en-US"/>
          </w:rPr>
          <w:t xml:space="preserve">, </w:t>
        </w:r>
        <w:smartTag w:uri="urn:schemas-microsoft-com:office:smarttags" w:element="country-region">
          <w:r w:rsidRPr="00D60959">
            <w:rPr>
              <w:sz w:val="22"/>
              <w:lang w:val="en-US"/>
            </w:rPr>
            <w:t>Central African Republic</w:t>
          </w:r>
        </w:smartTag>
      </w:smartTag>
      <w:r w:rsidRPr="00D60959">
        <w:rPr>
          <w:sz w:val="22"/>
          <w:lang w:val="en-US"/>
        </w:rPr>
        <w:t>.</w:t>
      </w:r>
      <w:proofErr w:type="gramEnd"/>
      <w:r w:rsidRPr="00D60959">
        <w:rPr>
          <w:sz w:val="22"/>
          <w:lang w:val="en-US"/>
        </w:rPr>
        <w:t xml:space="preserve"> Med </w:t>
      </w:r>
      <w:proofErr w:type="spellStart"/>
      <w:r w:rsidRPr="00D60959">
        <w:rPr>
          <w:sz w:val="22"/>
          <w:lang w:val="en-US"/>
        </w:rPr>
        <w:t>Trop</w:t>
      </w:r>
      <w:proofErr w:type="spellEnd"/>
      <w:r w:rsidRPr="00D60959">
        <w:rPr>
          <w:sz w:val="22"/>
          <w:lang w:val="en-US"/>
        </w:rPr>
        <w:t xml:space="preserve"> 29(4):531-5. </w:t>
      </w:r>
    </w:p>
    <w:p w:rsidR="00470839" w:rsidRPr="00D60959" w:rsidRDefault="00470839" w:rsidP="00470839">
      <w:pPr>
        <w:ind w:left="0" w:firstLine="0"/>
        <w:rPr>
          <w:sz w:val="22"/>
          <w:lang w:val="en-US"/>
        </w:rPr>
      </w:pPr>
    </w:p>
    <w:p w:rsidR="00470839" w:rsidRPr="00D60959" w:rsidRDefault="00470839" w:rsidP="00470839">
      <w:pPr>
        <w:ind w:left="0" w:firstLine="0"/>
        <w:rPr>
          <w:sz w:val="22"/>
          <w:lang w:val="fr-FR"/>
        </w:rPr>
      </w:pPr>
      <w:r w:rsidRPr="001927FA">
        <w:rPr>
          <w:sz w:val="22"/>
          <w:lang w:val="nl-NL"/>
        </w:rPr>
        <w:t>3. Kassa-Kelembho E, Kobangue L, Huerre M, Morvan JM</w:t>
      </w:r>
      <w:r>
        <w:rPr>
          <w:sz w:val="22"/>
          <w:lang w:val="nl-NL"/>
        </w:rPr>
        <w:t xml:space="preserve"> (2003)</w:t>
      </w:r>
      <w:r w:rsidRPr="001927FA">
        <w:rPr>
          <w:sz w:val="22"/>
          <w:lang w:val="nl-NL"/>
        </w:rPr>
        <w:t xml:space="preserve">. </w:t>
      </w:r>
      <w:r w:rsidRPr="00D60959">
        <w:rPr>
          <w:bCs/>
          <w:sz w:val="22"/>
          <w:lang w:val="en-US"/>
        </w:rPr>
        <w:t xml:space="preserve">First cases of imported cutaneous leishmaniasis in Bangui Central African Republic: efficacy of </w:t>
      </w:r>
      <w:proofErr w:type="spellStart"/>
      <w:r w:rsidRPr="00D60959">
        <w:rPr>
          <w:bCs/>
          <w:sz w:val="22"/>
          <w:lang w:val="en-US"/>
        </w:rPr>
        <w:t>metronidazole</w:t>
      </w:r>
      <w:proofErr w:type="spellEnd"/>
      <w:r w:rsidRPr="00D60959">
        <w:rPr>
          <w:bCs/>
          <w:sz w:val="22"/>
          <w:lang w:val="en-US"/>
        </w:rPr>
        <w:t>.</w:t>
      </w:r>
      <w:r w:rsidRPr="00D60959">
        <w:rPr>
          <w:sz w:val="22"/>
          <w:lang w:val="en-US"/>
        </w:rPr>
        <w:t xml:space="preserve"> </w:t>
      </w:r>
      <w:r w:rsidRPr="00D60959">
        <w:rPr>
          <w:sz w:val="22"/>
          <w:lang w:val="fr-FR"/>
        </w:rPr>
        <w:t>Med Trop 63(6):597-600.</w:t>
      </w:r>
    </w:p>
    <w:p w:rsidR="00470839" w:rsidRPr="002C75B8" w:rsidRDefault="00470839" w:rsidP="00470839">
      <w:pPr>
        <w:ind w:left="0" w:firstLine="0"/>
        <w:rPr>
          <w:sz w:val="22"/>
          <w:lang w:val="fr-FR"/>
        </w:rPr>
      </w:pPr>
    </w:p>
    <w:p w:rsidR="00470839" w:rsidRPr="002C75B8" w:rsidRDefault="00470839" w:rsidP="00470839">
      <w:pPr>
        <w:ind w:left="0" w:firstLine="0"/>
        <w:rPr>
          <w:sz w:val="22"/>
          <w:lang w:val="fr-FR"/>
        </w:rPr>
      </w:pPr>
    </w:p>
    <w:p w:rsidR="002F7C1A" w:rsidRDefault="002F7C1A" w:rsidP="00470839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7A2"/>
    <w:multiLevelType w:val="hybridMultilevel"/>
    <w:tmpl w:val="B972B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0839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70839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39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47083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Sinespaciado">
    <w:name w:val="Sin espaciado"/>
    <w:link w:val="SinespaciadoCar"/>
    <w:qFormat/>
    <w:rsid w:val="0047083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DefaultParagraphFont"/>
    <w:link w:val="Sinespaciado"/>
    <w:rsid w:val="00470839"/>
    <w:rPr>
      <w:rFonts w:ascii="Calibri" w:eastAsia="Times New Roman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39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2012-04-01T19:57:00Z</dcterms:created>
  <dcterms:modified xsi:type="dcterms:W3CDTF">2012-04-01T19:58:00Z</dcterms:modified>
</cp:coreProperties>
</file>