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A5" w:rsidRDefault="009B00A5" w:rsidP="009B00A5">
      <w:pPr>
        <w:spacing w:line="360" w:lineRule="auto"/>
      </w:pPr>
      <w:bookmarkStart w:id="0" w:name="_GoBack"/>
      <w:r>
        <w:rPr>
          <w:b/>
        </w:rPr>
        <w:t>Table S</w:t>
      </w:r>
      <w:r>
        <w:rPr>
          <w:b/>
        </w:rPr>
        <w:t>5</w:t>
      </w:r>
      <w:r w:rsidRPr="005F44AB">
        <w:rPr>
          <w:b/>
        </w:rPr>
        <w:t>: Overview of mean percentage of individuals surveyed in each category.</w:t>
      </w:r>
      <w:r>
        <w:t xml:space="preserve">  5</w:t>
      </w:r>
      <w:r w:rsidRPr="009C1D49">
        <w:rPr>
          <w:vertAlign w:val="superscript"/>
        </w:rPr>
        <w:t>th</w:t>
      </w:r>
      <w:r>
        <w:t xml:space="preserve"> and 95</w:t>
      </w:r>
      <w:r w:rsidRPr="009C1D49">
        <w:rPr>
          <w:vertAlign w:val="superscript"/>
        </w:rPr>
        <w:t>th</w:t>
      </w:r>
      <w:r>
        <w:t xml:space="preserve"> quantile values are show in parentheses.  Individual surveys were aggregated to their county location based on the location of the household.  Counties were then aggregated by population density (high and low) with Nairobi kept separate.  Low population density counties have below the mean population density per county (less than 408 individuals per square kilometer).  High population density counties have equal to or above the mean population density per county.</w:t>
      </w:r>
    </w:p>
    <w:bookmarkEnd w:id="0"/>
    <w:p w:rsidR="009B00A5" w:rsidRDefault="009B00A5" w:rsidP="009B00A5">
      <w:pPr>
        <w:spacing w:line="360" w:lineRule="auto"/>
      </w:pPr>
    </w:p>
    <w:tbl>
      <w:tblPr>
        <w:tblStyle w:val="MediumShading2-Accent1"/>
        <w:tblpPr w:leftFromText="180" w:rightFromText="180" w:vertAnchor="text" w:horzAnchor="page" w:tblpX="1909"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684"/>
        <w:gridCol w:w="1691"/>
        <w:gridCol w:w="1691"/>
      </w:tblGrid>
      <w:tr w:rsidR="009B00A5" w:rsidRPr="00570166" w:rsidTr="009B00A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95" w:type="pct"/>
            <w:tcBorders>
              <w:top w:val="none" w:sz="0" w:space="0" w:color="auto"/>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p>
        </w:tc>
        <w:tc>
          <w:tcPr>
            <w:tcW w:w="1456" w:type="pct"/>
            <w:tcBorders>
              <w:top w:val="none" w:sz="0" w:space="0" w:color="auto"/>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D32FE5">
              <w:rPr>
                <w:rFonts w:eastAsia="Times New Roman"/>
                <w:color w:val="auto"/>
              </w:rPr>
              <w:t>Low Population Density</w:t>
            </w:r>
          </w:p>
        </w:tc>
        <w:tc>
          <w:tcPr>
            <w:tcW w:w="974" w:type="pct"/>
            <w:tcBorders>
              <w:top w:val="none" w:sz="0" w:space="0" w:color="auto"/>
              <w:left w:val="none" w:sz="0" w:space="0" w:color="auto"/>
              <w:bottom w:val="none" w:sz="0" w:space="0" w:color="auto"/>
              <w:right w:val="none" w:sz="0" w:space="0" w:color="auto"/>
            </w:tcBorders>
            <w:shd w:val="clear" w:color="auto" w:fill="auto"/>
            <w:vAlign w:val="center"/>
          </w:tcPr>
          <w:p w:rsidR="009B00A5" w:rsidRPr="00D32FE5" w:rsidRDefault="009B00A5" w:rsidP="00E91733">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D32FE5">
              <w:rPr>
                <w:rFonts w:eastAsia="Times New Roman"/>
                <w:color w:val="auto"/>
              </w:rPr>
              <w:t>High Population Density</w:t>
            </w:r>
          </w:p>
        </w:tc>
        <w:tc>
          <w:tcPr>
            <w:tcW w:w="974" w:type="pct"/>
            <w:tcBorders>
              <w:top w:val="none" w:sz="0" w:space="0" w:color="auto"/>
              <w:left w:val="none" w:sz="0" w:space="0" w:color="auto"/>
              <w:bottom w:val="none" w:sz="0" w:space="0" w:color="auto"/>
              <w:right w:val="none" w:sz="0" w:space="0" w:color="auto"/>
            </w:tcBorders>
            <w:shd w:val="clear" w:color="auto" w:fill="auto"/>
            <w:vAlign w:val="center"/>
          </w:tcPr>
          <w:p w:rsidR="009B00A5" w:rsidRPr="00D32FE5" w:rsidRDefault="009B00A5" w:rsidP="00E91733">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D32FE5">
              <w:rPr>
                <w:rFonts w:eastAsia="Times New Roman"/>
                <w:color w:val="auto"/>
              </w:rPr>
              <w:t>Nairobi</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r w:rsidRPr="00D32FE5">
              <w:rPr>
                <w:rFonts w:eastAsia="Times New Roman"/>
                <w:color w:val="auto"/>
              </w:rPr>
              <w:t>Gender</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Male</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50% (47, 54)</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49% (48, 52)</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49%</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Female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50% (46, 53)</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51% (48, 52)</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51%</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r w:rsidRPr="00D32FE5">
              <w:rPr>
                <w:rFonts w:eastAsia="Times New Roman"/>
                <w:color w:val="auto"/>
              </w:rPr>
              <w:t>Education</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None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29% (12, 66)</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20% (13, 26)</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14%</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Some Primary</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39% (26, 51)</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45% (34, 54)</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20%</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Primary Complete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13% (4, 20)</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12% (8, 15)</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11%</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Some Secondary</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7% (2, 12)</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9% (6, 13)</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11%</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Secondary Complete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 (1, 15)</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10% (5, 16)</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22%</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Technical Training</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 (0, 7)</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 (1, 6)</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14%</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University</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 (0, 3)</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 (1, 3)</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10%</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r w:rsidRPr="00D32FE5">
              <w:rPr>
                <w:rFonts w:eastAsia="Times New Roman"/>
                <w:color w:val="auto"/>
              </w:rPr>
              <w:t>Age</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16-17</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6% (2, 14)</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 (2, 7)</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18-24</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7% (2, 19)</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 (3, 5)</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25-29</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9% (1, 20)</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 (6, 11)</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3%</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30-34</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15% (8, 24)</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17% (13, 23)</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30%</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35-39</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12% (6, 23)</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11% (8, 15)</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20%</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40-44</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13% (7, 23)</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13% (8, 17)</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13%</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45-49</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13% (6, 19)</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12% (9, 13)</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10%</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50-54</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10% (4, 15)</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12% (9, 15)</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7%</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55-59</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 (2, 16)</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 (4, 11)</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6%</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60-64</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6% (2, 10)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6% (3, 8)</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65+</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 (1, 11)</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 (4, 8)</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2%</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r w:rsidRPr="00D32FE5">
              <w:rPr>
                <w:rFonts w:eastAsia="Times New Roman"/>
                <w:color w:val="auto"/>
              </w:rPr>
              <w:t>Literacy</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Literate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60% (22, 84)</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68% (59, 79)</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94%</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Mildly Literate</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8% (1, 20)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 (1, 8)</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Illiterate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35% (13, 71)</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28% (17, 36)</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3%</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r w:rsidRPr="00D32FE5">
              <w:rPr>
                <w:rFonts w:eastAsia="Times New Roman"/>
                <w:color w:val="auto"/>
              </w:rPr>
              <w:t>Roof Type</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Corr. Iron Sheet</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70% (18, 99)</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82% (61, 95)</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54%</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Tiles</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17% (0, 72)</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 (1, 11)</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24%</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Concrete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15% (0, 39)</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9% (2, 31)</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14%</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Asbestos Sheets</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4% (1, 10)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7% (2, 17)</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9%</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Grass</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17% (2, 37)</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3% (1, 6)</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0%</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proofErr w:type="spellStart"/>
            <w:r w:rsidRPr="00D32FE5">
              <w:rPr>
                <w:rFonts w:eastAsia="Times New Roman"/>
                <w:color w:val="auto"/>
              </w:rPr>
              <w:t>Maktui</w:t>
            </w:r>
            <w:proofErr w:type="spellEnd"/>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0% (0, 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15% (2, 29)</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0%</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Tin</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0% (0, 0)</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0% (0, 0)</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0%</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Other</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0% (0, 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0% (0, 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0%</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color w:val="auto"/>
              </w:rPr>
            </w:pPr>
            <w:r w:rsidRPr="00D32FE5">
              <w:rPr>
                <w:rFonts w:eastAsia="Times New Roman"/>
                <w:color w:val="auto"/>
              </w:rPr>
              <w:t>Income</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0--1</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8% (0, 23)</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9% (2, 17)</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1%</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1--5</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43% (18, 65)</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53% (36, 64)</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14%</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5--10</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33% (11, 60)</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23% (14, 34)</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28%</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10--15</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 (1, 17)</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5% (2, 10)</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13%</w:t>
            </w:r>
          </w:p>
        </w:tc>
      </w:tr>
      <w:tr w:rsidR="009B00A5" w:rsidRPr="005A634B" w:rsidTr="009B00A5">
        <w:trPr>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15--90</w:t>
            </w:r>
          </w:p>
        </w:tc>
        <w:tc>
          <w:tcPr>
            <w:tcW w:w="1456" w:type="pct"/>
            <w:shd w:val="clear" w:color="auto" w:fill="auto"/>
            <w:noWrap/>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9% (1, 25)</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9% (2, 19)</w:t>
            </w:r>
          </w:p>
        </w:tc>
        <w:tc>
          <w:tcPr>
            <w:tcW w:w="974" w:type="pct"/>
            <w:shd w:val="clear" w:color="auto" w:fill="auto"/>
            <w:vAlign w:val="center"/>
          </w:tcPr>
          <w:p w:rsidR="009B00A5" w:rsidRPr="00050C67" w:rsidRDefault="009B00A5" w:rsidP="00E9173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50C67">
              <w:rPr>
                <w:rFonts w:eastAsia="Times New Roman"/>
                <w:color w:val="000000"/>
              </w:rPr>
              <w:t>37%</w:t>
            </w:r>
          </w:p>
        </w:tc>
      </w:tr>
      <w:tr w:rsidR="009B00A5" w:rsidRPr="005A634B" w:rsidTr="009B0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5" w:type="pct"/>
            <w:tcBorders>
              <w:left w:val="none" w:sz="0" w:space="0" w:color="auto"/>
              <w:bottom w:val="none" w:sz="0" w:space="0" w:color="auto"/>
              <w:right w:val="none" w:sz="0" w:space="0" w:color="auto"/>
            </w:tcBorders>
            <w:shd w:val="clear" w:color="auto" w:fill="auto"/>
            <w:noWrap/>
            <w:vAlign w:val="center"/>
          </w:tcPr>
          <w:p w:rsidR="009B00A5" w:rsidRPr="00D32FE5" w:rsidRDefault="009B00A5" w:rsidP="00E91733">
            <w:pPr>
              <w:spacing w:line="360" w:lineRule="auto"/>
              <w:jc w:val="center"/>
              <w:rPr>
                <w:rFonts w:eastAsia="Times New Roman"/>
                <w:b w:val="0"/>
                <w:color w:val="auto"/>
              </w:rPr>
            </w:pPr>
            <w:r w:rsidRPr="00D32FE5">
              <w:rPr>
                <w:rFonts w:eastAsia="Times New Roman"/>
                <w:color w:val="auto"/>
              </w:rPr>
              <w:t>90+</w:t>
            </w:r>
          </w:p>
        </w:tc>
        <w:tc>
          <w:tcPr>
            <w:tcW w:w="1456" w:type="pct"/>
            <w:shd w:val="clear" w:color="auto" w:fill="auto"/>
            <w:noWrap/>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0% (0, 2)</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0% (0, 1)</w:t>
            </w:r>
          </w:p>
        </w:tc>
        <w:tc>
          <w:tcPr>
            <w:tcW w:w="974" w:type="pct"/>
            <w:shd w:val="clear" w:color="auto" w:fill="auto"/>
            <w:vAlign w:val="center"/>
          </w:tcPr>
          <w:p w:rsidR="009B00A5" w:rsidRPr="00050C67" w:rsidRDefault="009B00A5" w:rsidP="00E9173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50C67">
              <w:rPr>
                <w:rFonts w:eastAsia="Times New Roman"/>
                <w:color w:val="000000"/>
              </w:rPr>
              <w:t>8%</w:t>
            </w:r>
          </w:p>
        </w:tc>
      </w:tr>
    </w:tbl>
    <w:p w:rsidR="009B00A5" w:rsidRDefault="009B00A5" w:rsidP="009B00A5">
      <w:pPr>
        <w:spacing w:line="360" w:lineRule="auto"/>
      </w:pPr>
    </w:p>
    <w:p w:rsidR="009B00A5" w:rsidRDefault="009B00A5" w:rsidP="009B00A5"/>
    <w:p w:rsidR="00761C9D" w:rsidRDefault="00761C9D"/>
    <w:sectPr w:rsidR="00761C9D" w:rsidSect="008B22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A5"/>
    <w:rsid w:val="003F77F1"/>
    <w:rsid w:val="00761C9D"/>
    <w:rsid w:val="008B22C8"/>
    <w:rsid w:val="009B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249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1">
    <w:name w:val="Medium Shading 2 Accent 1"/>
    <w:basedOn w:val="TableNormal"/>
    <w:uiPriority w:val="64"/>
    <w:rsid w:val="009B00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1">
    <w:name w:val="Medium Shading 2 Accent 1"/>
    <w:basedOn w:val="TableNormal"/>
    <w:uiPriority w:val="64"/>
    <w:rsid w:val="009B00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1728</Characters>
  <Application>Microsoft Macintosh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Wesolowski</dc:creator>
  <cp:keywords/>
  <dc:description/>
  <cp:lastModifiedBy>Amy Wesolowski</cp:lastModifiedBy>
  <cp:revision>1</cp:revision>
  <dcterms:created xsi:type="dcterms:W3CDTF">2012-03-19T13:55:00Z</dcterms:created>
  <dcterms:modified xsi:type="dcterms:W3CDTF">2012-03-19T13:55:00Z</dcterms:modified>
</cp:coreProperties>
</file>