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C" w:rsidRPr="00E14AA4" w:rsidRDefault="00166E8C" w:rsidP="00166E8C">
      <w:pPr>
        <w:pStyle w:val="NoSpacing"/>
        <w:rPr>
          <w:rFonts w:cs="Calibri"/>
          <w:bCs/>
          <w:sz w:val="24"/>
        </w:rPr>
      </w:pPr>
      <w:r w:rsidRPr="00E14AA4">
        <w:rPr>
          <w:rFonts w:cs="Calibri"/>
          <w:b/>
          <w:sz w:val="24"/>
        </w:rPr>
        <w:t>Table S</w:t>
      </w:r>
      <w:r>
        <w:rPr>
          <w:rFonts w:cs="Calibri"/>
          <w:b/>
          <w:sz w:val="24"/>
        </w:rPr>
        <w:t>3</w:t>
      </w:r>
      <w:r w:rsidRPr="00E14AA4">
        <w:rPr>
          <w:rFonts w:cs="Calibri"/>
          <w:b/>
          <w:sz w:val="24"/>
        </w:rPr>
        <w:t>. Telithromycin Inactivation in Cave Isolates.</w:t>
      </w:r>
      <w:r w:rsidRPr="00E14AA4">
        <w:rPr>
          <w:rFonts w:cs="Calibri"/>
          <w:i/>
          <w:sz w:val="24"/>
        </w:rPr>
        <w:t xml:space="preserve"> </w:t>
      </w:r>
      <w:r w:rsidRPr="00E14AA4">
        <w:rPr>
          <w:rFonts w:cs="Calibri"/>
          <w:sz w:val="24"/>
        </w:rPr>
        <w:t xml:space="preserve">The strains were grown in presence of     20 µg/ml drug for 5 days at 30 °C. </w:t>
      </w:r>
      <w:r w:rsidRPr="00E14AA4">
        <w:rPr>
          <w:rFonts w:cs="Calibri"/>
          <w:bCs/>
          <w:sz w:val="24"/>
        </w:rPr>
        <w:t>Analysis of the clarified culture supernatant by LC-MS* indicated a shift of 162</w:t>
      </w:r>
      <w:r>
        <w:rPr>
          <w:rFonts w:cs="Calibri"/>
          <w:bCs/>
          <w:sz w:val="24"/>
        </w:rPr>
        <w:t xml:space="preserve"> Da</w:t>
      </w:r>
      <w:r w:rsidRPr="00E14AA4">
        <w:rPr>
          <w:rFonts w:cs="Calibri"/>
          <w:bCs/>
          <w:sz w:val="24"/>
        </w:rPr>
        <w:t xml:space="preserve"> (for </w:t>
      </w:r>
      <w:r w:rsidRPr="00E14AA4">
        <w:rPr>
          <w:rFonts w:cs="Calibri"/>
          <w:bCs/>
          <w:i/>
          <w:sz w:val="24"/>
        </w:rPr>
        <w:t>Streptomyces</w:t>
      </w:r>
      <w:r w:rsidRPr="00E14AA4">
        <w:rPr>
          <w:rFonts w:cs="Calibri"/>
          <w:bCs/>
          <w:sz w:val="24"/>
        </w:rPr>
        <w:t xml:space="preserve"> isolates) and 80 Da (for LC44) in comparison to the telithromycin reference, suggestive of mono-glycosylation and phosphorylation respectively.</w:t>
      </w:r>
    </w:p>
    <w:p w:rsidR="00166E8C" w:rsidRPr="00E14AA4" w:rsidRDefault="00166E8C" w:rsidP="00166E8C">
      <w:pPr>
        <w:spacing w:line="240" w:lineRule="auto"/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669"/>
        <w:gridCol w:w="1276"/>
        <w:gridCol w:w="1984"/>
        <w:gridCol w:w="1418"/>
        <w:gridCol w:w="1275"/>
      </w:tblGrid>
      <w:tr w:rsidR="00166E8C" w:rsidRPr="00E14AA4">
        <w:trPr>
          <w:trHeight w:val="756"/>
        </w:trPr>
        <w:tc>
          <w:tcPr>
            <w:tcW w:w="2550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Strain</w:t>
            </w:r>
          </w:p>
        </w:tc>
        <w:tc>
          <w:tcPr>
            <w:tcW w:w="1669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Telithromycin </w:t>
            </w:r>
            <w:r w:rsidRPr="00E14AA4">
              <w:rPr>
                <w:rFonts w:cs="Calibri"/>
                <w:i/>
                <w:sz w:val="22"/>
                <w:szCs w:val="24"/>
              </w:rPr>
              <w:t>m/z</w:t>
            </w:r>
            <w:r w:rsidRPr="00E14AA4">
              <w:rPr>
                <w:rFonts w:cs="Calibri"/>
                <w:sz w:val="22"/>
                <w:szCs w:val="24"/>
              </w:rPr>
              <w:t xml:space="preserve"> 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 [M+H]</w:t>
            </w:r>
            <w:r w:rsidRPr="00E14AA4">
              <w:rPr>
                <w:rFonts w:cs="Calibri"/>
                <w:sz w:val="22"/>
                <w:szCs w:val="24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  <w:vertAlign w:val="subscript"/>
              </w:rPr>
            </w:pPr>
            <w:r w:rsidRPr="00E14AA4">
              <w:rPr>
                <w:rFonts w:cs="Calibri"/>
                <w:sz w:val="22"/>
                <w:szCs w:val="24"/>
              </w:rPr>
              <w:t>Retention Time (min)</w:t>
            </w:r>
          </w:p>
        </w:tc>
        <w:tc>
          <w:tcPr>
            <w:tcW w:w="1984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Telithromycin Inactivation Product </w:t>
            </w:r>
            <w:r w:rsidRPr="00E14AA4">
              <w:rPr>
                <w:rFonts w:cs="Calibri"/>
                <w:i/>
                <w:sz w:val="22"/>
                <w:szCs w:val="24"/>
              </w:rPr>
              <w:t>m/z</w:t>
            </w:r>
            <w:r w:rsidRPr="00E14AA4">
              <w:rPr>
                <w:rFonts w:cs="Calibri"/>
                <w:sz w:val="22"/>
                <w:szCs w:val="24"/>
              </w:rPr>
              <w:t xml:space="preserve"> [M+H]</w:t>
            </w:r>
            <w:r w:rsidRPr="00E14AA4">
              <w:rPr>
                <w:rFonts w:cs="Calibri"/>
                <w:sz w:val="22"/>
                <w:szCs w:val="24"/>
                <w:vertAlign w:val="superscript"/>
              </w:rPr>
              <w:t>+</w:t>
            </w:r>
          </w:p>
        </w:tc>
        <w:tc>
          <w:tcPr>
            <w:tcW w:w="1418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Retention Time</w:t>
            </w:r>
            <w:r w:rsidRPr="00E14AA4">
              <w:rPr>
                <w:rFonts w:cs="Calibri"/>
                <w:sz w:val="22"/>
                <w:szCs w:val="24"/>
                <w:vertAlign w:val="subscript"/>
              </w:rPr>
              <w:t xml:space="preserve"> </w:t>
            </w:r>
            <w:r w:rsidRPr="00E14AA4">
              <w:rPr>
                <w:rFonts w:cs="Calibri"/>
                <w:sz w:val="22"/>
                <w:szCs w:val="24"/>
              </w:rPr>
              <w:t>(min)</w:t>
            </w:r>
          </w:p>
        </w:tc>
        <w:tc>
          <w:tcPr>
            <w:tcW w:w="1275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Difference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 xml:space="preserve"> m/z</w:t>
            </w:r>
            <w:r w:rsidRPr="00E14AA4">
              <w:rPr>
                <w:rFonts w:cs="Calibri"/>
                <w:sz w:val="22"/>
                <w:szCs w:val="24"/>
              </w:rPr>
              <w:t xml:space="preserve"> </w:t>
            </w:r>
          </w:p>
        </w:tc>
      </w:tr>
      <w:tr w:rsidR="00166E8C" w:rsidRPr="00E14AA4">
        <w:trPr>
          <w:trHeight w:val="756"/>
        </w:trPr>
        <w:tc>
          <w:tcPr>
            <w:tcW w:w="2550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>Streptomyces flaveus</w:t>
            </w:r>
            <w:r w:rsidRPr="00E14AA4">
              <w:rPr>
                <w:rFonts w:cs="Calibri"/>
                <w:sz w:val="22"/>
                <w:szCs w:val="24"/>
              </w:rPr>
              <w:t xml:space="preserve">  (LC29)</w:t>
            </w:r>
          </w:p>
        </w:tc>
        <w:tc>
          <w:tcPr>
            <w:tcW w:w="1669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813.0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276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13.2</w:t>
            </w:r>
          </w:p>
        </w:tc>
        <w:tc>
          <w:tcPr>
            <w:tcW w:w="1984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974.6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418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12.9</w:t>
            </w:r>
          </w:p>
        </w:tc>
        <w:tc>
          <w:tcPr>
            <w:tcW w:w="1275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161.6</w:t>
            </w:r>
          </w:p>
        </w:tc>
      </w:tr>
      <w:tr w:rsidR="00166E8C" w:rsidRPr="00E14AA4">
        <w:trPr>
          <w:trHeight w:val="756"/>
        </w:trPr>
        <w:tc>
          <w:tcPr>
            <w:tcW w:w="2550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4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 xml:space="preserve">Streptomyces anulatus </w:t>
            </w:r>
            <w:r w:rsidRPr="00E14AA4">
              <w:rPr>
                <w:rFonts w:cs="Calibri"/>
                <w:sz w:val="22"/>
                <w:szCs w:val="24"/>
              </w:rPr>
              <w:t>(LC30)</w:t>
            </w:r>
          </w:p>
        </w:tc>
        <w:tc>
          <w:tcPr>
            <w:tcW w:w="1669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813.0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276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13.2</w:t>
            </w:r>
          </w:p>
        </w:tc>
        <w:tc>
          <w:tcPr>
            <w:tcW w:w="1984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974.6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418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12.9</w:t>
            </w:r>
          </w:p>
        </w:tc>
        <w:tc>
          <w:tcPr>
            <w:tcW w:w="1275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161.6</w:t>
            </w:r>
          </w:p>
        </w:tc>
      </w:tr>
      <w:tr w:rsidR="00166E8C" w:rsidRPr="00E14AA4">
        <w:trPr>
          <w:trHeight w:val="756"/>
        </w:trPr>
        <w:tc>
          <w:tcPr>
            <w:tcW w:w="2550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4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 xml:space="preserve">Streptomyces anulatus </w:t>
            </w:r>
            <w:r w:rsidRPr="00E14AA4">
              <w:rPr>
                <w:rFonts w:cs="Calibri"/>
                <w:sz w:val="22"/>
                <w:szCs w:val="24"/>
              </w:rPr>
              <w:t>(LC31)</w:t>
            </w:r>
          </w:p>
        </w:tc>
        <w:tc>
          <w:tcPr>
            <w:tcW w:w="1669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813.0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276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13.2</w:t>
            </w:r>
          </w:p>
        </w:tc>
        <w:tc>
          <w:tcPr>
            <w:tcW w:w="1984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974.6</w:t>
            </w:r>
          </w:p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418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12.9</w:t>
            </w:r>
          </w:p>
        </w:tc>
        <w:tc>
          <w:tcPr>
            <w:tcW w:w="1275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161.6</w:t>
            </w:r>
          </w:p>
        </w:tc>
      </w:tr>
      <w:tr w:rsidR="00166E8C" w:rsidRPr="00E14AA4">
        <w:trPr>
          <w:trHeight w:val="756"/>
        </w:trPr>
        <w:tc>
          <w:tcPr>
            <w:tcW w:w="2550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>Brachybacterium paraconglomeratum</w:t>
            </w:r>
            <w:r w:rsidRPr="00E14AA4">
              <w:rPr>
                <w:rFonts w:cs="Calibri"/>
                <w:sz w:val="22"/>
                <w:szCs w:val="24"/>
              </w:rPr>
              <w:t xml:space="preserve"> (LC44)</w:t>
            </w:r>
          </w:p>
        </w:tc>
        <w:tc>
          <w:tcPr>
            <w:tcW w:w="1669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812.6</w:t>
            </w:r>
          </w:p>
        </w:tc>
        <w:tc>
          <w:tcPr>
            <w:tcW w:w="1276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13.1</w:t>
            </w:r>
          </w:p>
        </w:tc>
        <w:tc>
          <w:tcPr>
            <w:tcW w:w="1984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892.6</w:t>
            </w:r>
          </w:p>
        </w:tc>
        <w:tc>
          <w:tcPr>
            <w:tcW w:w="1418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13.3</w:t>
            </w:r>
          </w:p>
        </w:tc>
        <w:tc>
          <w:tcPr>
            <w:tcW w:w="1275" w:type="dxa"/>
          </w:tcPr>
          <w:p w:rsidR="00166E8C" w:rsidRPr="00E14AA4" w:rsidRDefault="00166E8C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80.0</w:t>
            </w:r>
          </w:p>
        </w:tc>
      </w:tr>
    </w:tbl>
    <w:p w:rsidR="00166E8C" w:rsidRPr="00E14AA4" w:rsidRDefault="00166E8C" w:rsidP="00166E8C">
      <w:pPr>
        <w:spacing w:line="240" w:lineRule="auto"/>
      </w:pPr>
      <w:r w:rsidRPr="00E14AA4">
        <w:t>*</w:t>
      </w:r>
      <w:r w:rsidRPr="00E14AA4">
        <w:rPr>
          <w:rFonts w:cs="Calibri"/>
          <w:szCs w:val="24"/>
        </w:rPr>
        <w:t xml:space="preserve"> The reverse phase HPLC conditions are as follow: isocratic 5% solvent B (0.05% formic acid in acetonitrile), 95% solvent A (0.05% formic acid in water) over 5 min, followed by a linear gradient to 97% B over 20 min at a flow rate of 1 ml/min.</w:t>
      </w:r>
    </w:p>
    <w:p w:rsidR="00D6319E" w:rsidRDefault="00166E8C"/>
    <w:sectPr w:rsidR="00D6319E" w:rsidSect="002E2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6E8C"/>
    <w:rsid w:val="00166E8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8C"/>
    <w:pPr>
      <w:spacing w:line="480" w:lineRule="auto"/>
      <w:contextualSpacing/>
    </w:pPr>
    <w:rPr>
      <w:rFonts w:ascii="Calibri" w:eastAsia="Times New Roman" w:hAnsi="Calibri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7C9D"/>
    <w:pPr>
      <w:spacing w:line="240" w:lineRule="auto"/>
      <w:contextualSpacing w:val="0"/>
    </w:pPr>
    <w:rPr>
      <w:rFonts w:ascii="Lucida Grande" w:eastAsiaTheme="minorHAnsi" w:hAnsi="Lucida Grande" w:cstheme="minorBidi"/>
      <w:sz w:val="18"/>
      <w:szCs w:val="18"/>
    </w:rPr>
  </w:style>
  <w:style w:type="paragraph" w:styleId="NoSpacing">
    <w:name w:val="No Spacing"/>
    <w:uiPriority w:val="1"/>
    <w:qFormat/>
    <w:rsid w:val="00166E8C"/>
    <w:pPr>
      <w:spacing w:after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Wright</dc:creator>
  <cp:keywords/>
  <cp:lastModifiedBy>Gerry Wright</cp:lastModifiedBy>
  <cp:revision>1</cp:revision>
  <dcterms:created xsi:type="dcterms:W3CDTF">2012-03-12T18:22:00Z</dcterms:created>
  <dcterms:modified xsi:type="dcterms:W3CDTF">2012-03-12T18:22:00Z</dcterms:modified>
</cp:coreProperties>
</file>