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bCs/>
        </w:rPr>
      </w:pPr>
      <w:r>
        <w:rPr>
          <w:b/>
          <w:bCs/>
        </w:rPr>
        <w:t>Table S1. Ratio of predicted to observed risks for original Framingham functions (FRS), recalibrated FRS and Health ABC functions across deciles of predicted risk.</w:t>
      </w:r>
    </w:p>
    <w:tbl>
      <w:tblPr>
        <w:tblW w:w="11187" w:type="dxa"/>
        <w:tblInd w:w="-35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F"/>
      </w:tblPr>
      <w:tblGrid>
        <w:gridCol w:w="1485"/>
        <w:gridCol w:w="1029"/>
        <w:gridCol w:w="1044"/>
        <w:gridCol w:w="913"/>
        <w:gridCol w:w="372"/>
        <w:gridCol w:w="1029"/>
        <w:gridCol w:w="1044"/>
        <w:gridCol w:w="913"/>
        <w:gridCol w:w="372"/>
        <w:gridCol w:w="1029"/>
        <w:gridCol w:w="1044"/>
        <w:gridCol w:w="913"/>
      </w:tblGrid>
      <w:tr>
        <w:trPr>
          <w:trHeight w:val="258"/>
        </w:trPr>
        <w:tc>
          <w:tcPr>
            <w:tcW w:w="14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FRS</w:t>
            </w:r>
          </w:p>
        </w:tc>
        <w:tc>
          <w:tcPr>
            <w:tcW w:w="37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Recalibrated </w:t>
            </w:r>
            <w:r>
              <w:rPr>
                <w:b/>
                <w:bCs/>
                <w:sz w:val="20"/>
                <w:szCs w:val="20"/>
              </w:rPr>
              <w:t>FRS</w:t>
            </w:r>
          </w:p>
        </w:tc>
        <w:tc>
          <w:tcPr>
            <w:tcW w:w="37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Refit FRS (Health ABC function )</w:t>
            </w:r>
          </w:p>
        </w:tc>
      </w:tr>
      <w:tr>
        <w:trPr>
          <w:trHeight w:val="258"/>
        </w:trPr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Deciles of risk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Predicted risk (%)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Observed risk (%)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Predicted risk (%)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Observed risk (%)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Predicted risk (%)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Observed risk (%)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</w:t>
            </w:r>
          </w:p>
        </w:tc>
      </w:tr>
      <w:tr>
        <w:trPr>
          <w:trHeight w:val="258"/>
        </w:trPr>
        <w:tc>
          <w:tcPr>
            <w:tcW w:w="1485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Women:</w:t>
            </w:r>
          </w:p>
        </w:tc>
        <w:tc>
          <w:tcPr>
            <w:tcW w:w="1029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First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1.82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6.98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6.98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5.61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4.94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Second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11.31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11.31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6.78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5.61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Third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6.96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7.52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6.96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7.47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5.71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Fourth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9.49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Fifth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8.58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8.58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10.73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13.07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Sixth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10.57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11.75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10.57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10.98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Seventh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5.79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11.28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13.76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11.28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11.80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15.85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Eighth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6.76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11.94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15.93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11.94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12.95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9.18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Ninth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14.71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19.65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14.71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14.42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13.55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Tenth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12.56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28.19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20.96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17.54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</w:tr>
      <w:tr>
        <w:trPr>
          <w:trHeight w:val="258"/>
        </w:trPr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Overall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5.36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</w:t>
            </w:r>
          </w:p>
        </w:tc>
      </w:tr>
      <w:tr>
        <w:trPr>
          <w:trHeight w:val="258"/>
        </w:trPr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Men: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First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7.53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13.37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13.37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9.75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6.80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Second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10.57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12.82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12.74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12.82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17.64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Third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17.52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14.97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17.52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15.39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15.74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Fourth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14.52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21.31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17.42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21.31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17.51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13.44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Fifth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19.72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19.62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21.91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Sixth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18.54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18.32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22.13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18.32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21.74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23.85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Seventh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20.76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20.71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24.71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20.71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23.57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25.39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Eighth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23.70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21.57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21.57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25.62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23.26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Ninth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28.60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33.01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28.60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28.40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26.84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</w:tr>
      <w:tr>
        <w:trPr>
          <w:trHeight w:val="258"/>
        </w:trPr>
        <w:tc>
          <w:tcPr>
            <w:tcW w:w="1485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Tenth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38.19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30.59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44.32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30.59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33.14</w:t>
            </w:r>
          </w:p>
        </w:tc>
        <w:tc>
          <w:tcPr>
            <w:tcW w:w="10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33.26</w:t>
            </w:r>
          </w:p>
        </w:tc>
        <w:tc>
          <w:tcPr>
            <w:tcW w:w="9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>
        <w:trPr>
          <w:trHeight w:val="258"/>
        </w:trPr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Overall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20.71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0.92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22.57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20.71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1.09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20.75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20.71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</w:t>
            </w:r>
          </w:p>
        </w:tc>
      </w:tr>
    </w:tbl>
    <w:p>
      <w:pPr>
        <w:rPr>
          <w:sz w:val="20"/>
        </w:rPr>
      </w:pPr>
    </w:p>
    <w:p>
      <w:pPr>
        <w:ind w:left="284"/>
      </w:pPr>
    </w:p>
    <w:sectPr>
      <w:pgSz w:w="11906" w:h="16838"/>
      <w:pgMar w:top="1417" w:right="1417" w:bottom="1134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Company>Inselspital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Rajaonina</dc:creator>
  <cp:keywords/>
  <dc:description/>
  <cp:lastModifiedBy>Patricia Rajaonina</cp:lastModifiedBy>
  <cp:revision>1</cp:revision>
  <dcterms:created xsi:type="dcterms:W3CDTF">2012-03-02T12:00:00Z</dcterms:created>
  <dcterms:modified xsi:type="dcterms:W3CDTF">2012-03-02T12:03:00Z</dcterms:modified>
</cp:coreProperties>
</file>