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C9" w:rsidRDefault="00D015C9">
      <w:pPr>
        <w:pStyle w:val="Heading1"/>
        <w:rPr>
          <w:b w:val="0"/>
          <w:i w:val="0"/>
        </w:rPr>
      </w:pPr>
      <w:r>
        <w:rPr>
          <w:b w:val="0"/>
          <w:i w:val="0"/>
        </w:rPr>
        <w:t>Table S14: Complete list of all spots picked and Proteins identified in HA24</w:t>
      </w:r>
    </w:p>
    <w:p w:rsidR="00D015C9" w:rsidRDefault="00D015C9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721"/>
        <w:gridCol w:w="633"/>
        <w:gridCol w:w="1139"/>
        <w:gridCol w:w="1115"/>
        <w:gridCol w:w="1366"/>
        <w:gridCol w:w="7179"/>
        <w:gridCol w:w="709"/>
      </w:tblGrid>
      <w:tr w:rsidR="00D015C9">
        <w:trPr>
          <w:trHeight w:val="80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5C9" w:rsidRDefault="00D015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rank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5C9" w:rsidRDefault="00D015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Pick  #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5C9" w:rsidRDefault="00D015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Location</w:t>
            </w:r>
          </w:p>
          <w:p w:rsidR="00D015C9" w:rsidRDefault="00D015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(kD, pI)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5C9" w:rsidRDefault="00D015C9">
            <w:pPr>
              <w:pStyle w:val="Text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Coverage</w:t>
            </w:r>
          </w:p>
          <w:p w:rsidR="00D015C9" w:rsidRDefault="00D015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(%)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5C9" w:rsidRDefault="00D015C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Gene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5C9" w:rsidRDefault="00D015C9">
            <w:pPr>
              <w:pStyle w:val="Heading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Protein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5C9" w:rsidRDefault="00D015C9">
            <w:pPr>
              <w:pStyle w:val="Heading8"/>
            </w:pPr>
            <w:r>
              <w:t>SC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/ 7.0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Like spot #4 elongation factor 2 (NO ID)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8.5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RAB10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Ras-related protein Rab-10 (22.5kD, pI 8.4)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/ 6.8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XPO7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 (125kD, pI 6.3)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 / 7.5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EEF2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Elongation factor 2 (95kD, pI 6.8)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7.0</w:t>
            </w:r>
          </w:p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36.3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PIP4K2A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Phosphatidylinositol-5-phosphate 4-kinase type-2 alpha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(46kD, pI 7.0)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/ 6.8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XPO7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 (125kD, pI 6.3)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TPP2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Tripeptidyl peptidase II (140kD, pI 6.5)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 / 6.3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ALB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Uncharacterized protein ALB (71kD, pI 6.7)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GSN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Gelsolin precursor (85.6kD, pI 6.3)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6.8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TGM2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Protein-glutamine gamma-glutamyltransferase 2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(77.3kD, pI 5.2)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5.4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HSP90AA1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Heat shock protein 90kDa alpha (cytosolic), class A member 1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(98kD, pI 5.2)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STAT5B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Signal transducer and activator of transcription 5B (89.8kD, pI 6.1)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 / 7.0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Delta-aminolevulinic acid dehydratase isoform a (39kD, pI 7.6)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NSF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N-ethylmaleimide-sensitive factor / Vesicle-fusing ATPase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(82.5kD, pI 7.0)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7.0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Peroxiredoxin-2 (21.8kD, pI 6.0)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FBXO7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F-box only protein 7 (58kD, pI 6.8)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 / 6.8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/ 5.5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ALDH1A1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Aldehyde dehydrogenase 1 family, member A1 (55kD, pI 6.7)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 / 7.0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ADSL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Adenylosuccinate lyase (55kD,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RUVBL1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RuvB-like 1 (E. coli) (50.2kD, pI 6.4)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5.4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PIP4K2A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Phosphatidylinositol-5-phosphate 4-kinase type-2 alpha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(46kD, pI 7.0)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5.0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22.3 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RPSA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Ribosomal protein SA (33.3kD, pI 4.9)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 / 6.2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ALB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Uncharacterized protein ALB (71kD, pI 6.7)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ALDH1A1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Aldehyde dehydrogenase 1 family, member A1 (55kD, pI 6.7)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/ 6.5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TSN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Translin (26.1kD, pI 6.4)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HPRT1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Hypoxanthine phosphoribosyltransferase 1  (24.6kD, pI 7.0)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PSMB4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type-4 precursor (29.2kD, pI 6.0)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6.5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PURA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Transcriptional activator protein Pur-alpha (34.9kD, pI 6.4)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MAPK1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Mitogen-activated protein kinase 1 (41.4kD, pI 7.0)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 / 8.0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GMPR2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Guanosine monophosphate reductase 2 (45kD, pI 8.3)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7.5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CAP1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Adenylyl cyclase-associated protein 1 (51.9kD, pI 8.1)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5.0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Alpha-soluble NSF attachment protein (33.2kD, pI 5.4)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5.9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BAG1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BAG family molecular chaperone regulator 1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(38.8kD, pI 8.1)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Alpha-soluble NSF attachment protein (33.2kD, pI 5.4) carry over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BPGM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Bisphosphoglycerate mutase (30kD, pI 6.5)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/ 5.8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GSTM3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Glutathione S-transferase mu 3 (brain) (26.5kD, pI 5.5)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PITHD1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 (24kD, pI 5.8)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PSMB4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type-4 precursor (29.2kD, pI 6.0)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APOA1BP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Apolipoprotein A-I-binding protein precursor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(31.6kD, pI 7.7)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6.5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COPS5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COP9 signalosome complex subunit 5 (37.6kD, pI 6.5)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NIF3L1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Putative uncharacterized protein NIF3L1 (42kD, pI 6.7)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GSTM3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Glutathione S-transferase mu 3 (brain) (26.5kD, pI 5.5)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167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/ 7.0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PGAM1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Phosphoglycerate mutase 1 (brain) (28.8kD,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 (28kD, pI 8.5)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PSMD8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26S non-ATPase subunit 8 (39.6kD, pI 9.7)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PGAM1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Phosphoglycerate mutase 1 (brain) (28.8kD,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COPS5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COP9 signalosome complex subunit 5 (37.6kD, pI 6.5)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5.0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 (35.8kD, pI 6.6)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FDPS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Farnesyl diphosphate synthase (48.2kD, pI 6.2)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7.0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 (35.8kD, pI 6.6)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 (59.7kD, pI 5.6)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6.0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 (59.7kD, pI 5.6)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Peroxiredoxin-1 (22.1kD, pI 8.1)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USP14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 (56kD, pI 5.3)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 (28kD, pI 8.5)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 (35.8kD, pI 6.6)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EIF5A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2 of Eukaryotic translation initiation factor 5A-1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(20.1kD, pI 7.0)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FBXO7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only protein 7 (58kD, pI 6.8)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8.2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Peroxiredoxin-1 (22.1kD, pI 8.1)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7 (37kD, pI 6.8)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PSMB5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subunit, beta type, 5 (28kD, pI 6.5)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 (28kD, pI 8.5)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 (59.7kD, pI 5.6)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67.9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19.3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PSMD12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proteasome non-ATPase regulatory subunit 12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(52.9kD, pI 7.6)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8.0</w:t>
            </w:r>
          </w:p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41.4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PSMD12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proteasome non-ATPase regulatory subunit 12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(52.9kD, pI 7.6)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AP2M1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AP-2 complex subunit mu-1 (59.6kD, pI 9.5)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 / 7.5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PSMD8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26S non-ATPase subunit 8 (39.6kD, pI 9.7)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7 (37kD, pI 6.8)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7.0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PSMC5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protease regulatory subunit 8 (45.6kD, pI 7.5)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PSMD8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26S non-ATPase subunit 8 (39.6kD, pI 9.7)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12.6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PSMD9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p27-L of 26S proteasome non-ATPase regulatory SU 9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(24.6kD, pI 7.0)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8.0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Alpha-soluble NSF attachment protein (33.2kD, pI 5.4)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PSMC5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protease regulatory subunit 8 (45.6kD, pI 7.5)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 / 5.8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NAPA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Alpha-soluble NSF attachment protein (33.2kD, pI 5.4)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NAPRT1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Nicotinate phosphoribosyltransferase domain containing 1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(60.2kD, pI 5.8)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 / 6.8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</w:tr>
      <w:tr w:rsidR="00D015C9">
        <w:trPr>
          <w:trHeight w:val="27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ASNA1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ATPase ASNA1 (40.2kD, pI 5.1)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PSMG1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assembly chaperone 1 (32.8kD,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52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5.0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ASNA1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ATPase ASNA1 (40.2kD, pI 5.1)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GLRX3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Glutaredoxin-3 (37.4kD, pI 5.4)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18.4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SUGT1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Suppressor of G2 allele of SKP1 homolog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(41kD, pI 5.2)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10.6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CRKL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V-crk sarcoma virus CT10 oncogene homolog (avian)-like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(33.7kD, pI 6.7)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5.8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2 (beta) (57.5kD, pI 6.4)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GLRX3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Glutaredoxin-3 (37.4kD, pI 5.4)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D015C9">
        <w:trPr>
          <w:trHeight w:val="52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PPP2CA/ PPP2CB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Serine/threonine-protein phosphatase 2A catalytic subunit </w:t>
            </w:r>
          </w:p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 or beta isoform (35.5kD, pI 5.5 or 5.4)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7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ASNA1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ATPase ASNA1 (40.2kD, pI 5.1)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 / 6.8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2 (beta) (57.5kD, pI 6.4)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7 (37kD, pI 6.8)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23.8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DARS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Aspartyl-tRNA synthetase, cytoplasmic (57kD, pI 6.5)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305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 / 7.5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7 (37kD, pI 6.8)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BPGM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Bisphosphoglycerate mutase (30kD, pI 6.5)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21.5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Chaperonin containing TCP1, subunit 2 (beta)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(57.5kD, pI 6.4) carry over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GMPR2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Guanosine monophosphate reductase 2 (45kD, pI 8.3)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7.5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FDPS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Farnesyl diphosphate synthase (48kD, pI 6.2)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BPGM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Bisphosphoglycerate mutase (30kD, pI 6.5)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12.6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PSMD9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p27-L of 26S proteasome non-ATPase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Regulatory subunit 9 (24.6kD, pI 7.0)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 carry over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7 (37kD, pI 6.8)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SNF8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Vacuolar-sorting protein SNF8 (28.8kD, pI 6.8),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8.0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eta (59.4kD, pI 7.6)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CCT4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delta (57.9kD, pI 7.8)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BPGM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Bisphosphoglycerate mutase (30kD, pI 6.5) carry over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284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/ 8.0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PSMA4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 (29.4kD, pI 7.7)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 (28kD, pI 8.5)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 (59.4kD, pI 7.6) carry over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PSMA4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 (29.4kD, pI 7.7)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 / 6.0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 (59.7kD, pI 5.6)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9.2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 Nucleosidee Phosphorylase (33kD, pI 7.2)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FBXO7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protein 7 (58kD, pI 6.8)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5.5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PSMA3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type-3 (28.4kD, pI 5.3)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29.9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RANBP1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Ran-specific GTPase-activating protein (23.3kD, pI 5.3)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Chaperonin containing TCP1, subunit 8 (theta)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(59.7kD, pI 5.6) carry over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5.8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ACTB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Actin, cytoplasmic 2 (45kD, pI 6.2)</w:t>
            </w: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14.6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actin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Actin (42kD, pI 5.4) NOT UNIQUE PEPTIDE :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ACTA2 or ACTG2 or ACTC1 or ACTA1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12.8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ACTBL2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Actin, beta-like 2 , DKFZp686D0972 hypothetical protein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LOC345651  (42kD, pI 5.6)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POTEI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POTE ankyrin domain family, member K, pseudogene,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(42kD, pI 6.3)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2.2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LOC653781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Similar to Prostate, ovary, testis expressed protein on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chromosome 2 (117kD, pI 6.0)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6.5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37.4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Peroxiredoxin-2 (21.8kD, pI 6.0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 (59.7kD, pI 5.6)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D015C9">
        <w:trPr>
          <w:trHeight w:val="272"/>
        </w:trPr>
        <w:tc>
          <w:tcPr>
            <w:tcW w:w="7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3.8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POTE2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 ankyrin domain family, member K, pseudogene,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015C9">
        <w:trPr>
          <w:trHeight w:val="272"/>
        </w:trPr>
        <w:tc>
          <w:tcPr>
            <w:tcW w:w="7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(42kD, pI 6.3)</w:t>
            </w: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ACTB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Actin, cytoplasmic 2 (45kD</w:t>
            </w:r>
            <w:r>
              <w:rPr>
                <w:rFonts w:ascii="Arial" w:hAnsi="Arial"/>
                <w:i/>
              </w:rPr>
              <w:t xml:space="preserve">, </w:t>
            </w:r>
            <w:r>
              <w:rPr>
                <w:rFonts w:ascii="Arial" w:hAnsi="Arial"/>
              </w:rPr>
              <w:t>pI 6.2)</w:t>
            </w: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5.8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56.7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USP14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Ubiquitin carboxyl-terminal hydrolase 14 (56kD, pI 5.3) 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Peroxiredoxin-2 (21.8kD, pI 6.0)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015C9">
        <w:trPr>
          <w:trHeight w:val="260"/>
        </w:trPr>
        <w:tc>
          <w:tcPr>
            <w:tcW w:w="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</w:pPr>
          </w:p>
        </w:tc>
        <w:tc>
          <w:tcPr>
            <w:tcW w:w="1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/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EIF5</w:t>
            </w:r>
          </w:p>
        </w:tc>
        <w:tc>
          <w:tcPr>
            <w:tcW w:w="7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Eukaryotic translation initiation factor 5 (49.2kD, pI 5.6)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5C9" w:rsidRDefault="00D015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</w:tbl>
    <w:p w:rsidR="00D015C9" w:rsidRDefault="00D015C9">
      <w:pPr>
        <w:pStyle w:val="FreieForm"/>
        <w:ind w:left="2160" w:hanging="2160"/>
        <w:rPr>
          <w:rFonts w:ascii="Arial" w:hAnsi="Arial"/>
          <w:lang w:val="en-US"/>
        </w:rPr>
      </w:pPr>
    </w:p>
    <w:p w:rsidR="00D015C9" w:rsidRDefault="00D015C9">
      <w:pPr>
        <w:pStyle w:val="FreieForm"/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Spot rank: </w:t>
      </w:r>
      <w:r>
        <w:rPr>
          <w:rFonts w:ascii="Arial" w:hAnsi="Arial"/>
          <w:lang w:val="en-US"/>
        </w:rPr>
        <w:tab/>
        <w:t>Rank of spot as assigned by Same Spots Software depending on fold change (normalized volume) comparing the highest to lowest sample</w:t>
      </w:r>
    </w:p>
    <w:p w:rsidR="00D015C9" w:rsidRDefault="00D015C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Pick #: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Sequence in which spots were excised from gel depending on spot intensity (from lowest to highest)</w:t>
      </w:r>
    </w:p>
    <w:p w:rsidR="00D015C9" w:rsidRDefault="00D015C9">
      <w:pPr>
        <w:pStyle w:val="FreieForm"/>
        <w:tabs>
          <w:tab w:val="left" w:pos="1440"/>
        </w:tabs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Spot Location:</w:t>
      </w:r>
      <w:r>
        <w:rPr>
          <w:rFonts w:ascii="Arial" w:hAnsi="Arial"/>
          <w:lang w:val="en-US"/>
        </w:rPr>
        <w:tab/>
        <w:t>Approximate location of spot by protein mass (marker on gel in kilo dalton, kD) and isoelectric point (pI) as estimated on focussing strip used</w:t>
      </w:r>
    </w:p>
    <w:p w:rsidR="00D015C9" w:rsidRDefault="00D015C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Coverage:</w:t>
      </w:r>
      <w:r>
        <w:rPr>
          <w:rFonts w:ascii="Arial" w:hAnsi="Arial"/>
          <w:lang w:val="en-US"/>
        </w:rPr>
        <w:tab/>
        <w:t>Percentage of aminoacid sequence that is covered by unique peptides to identify protein</w:t>
      </w:r>
    </w:p>
    <w:p w:rsidR="00D015C9" w:rsidRDefault="00D015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</w:p>
    <w:p w:rsidR="00D015C9" w:rsidRDefault="00D015C9">
      <w:pPr>
        <w:pStyle w:val="Tex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Protein: </w:t>
      </w:r>
      <w:r>
        <w:rPr>
          <w:rFonts w:ascii="Arial" w:hAnsi="Arial"/>
          <w:sz w:val="20"/>
          <w:lang w:val="en-US"/>
        </w:rPr>
        <w:tab/>
        <w:t>HGNC Symbol for protein identified (including theoretical protein mass and pI)</w:t>
      </w:r>
    </w:p>
    <w:p w:rsidR="00D015C9" w:rsidRDefault="00D015C9">
      <w:pPr>
        <w:pStyle w:val="FreieForm"/>
        <w:ind w:left="1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SC: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Spectral count</w:t>
      </w:r>
    </w:p>
    <w:p w:rsidR="00D015C9" w:rsidRDefault="00D015C9"/>
    <w:sectPr w:rsidR="00D015C9" w:rsidSect="00710C29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710C29"/>
    <w:rsid w:val="00D015C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29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C29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C29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C29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C29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0C29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0C29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0C29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0C29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0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0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0D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0D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0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0D1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0D1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0D1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29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710C29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710C29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710C29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710C29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710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10C29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710C29"/>
    <w:rPr>
      <w:b/>
    </w:rPr>
  </w:style>
  <w:style w:type="paragraph" w:styleId="Footer">
    <w:name w:val="footer"/>
    <w:basedOn w:val="Normal"/>
    <w:link w:val="FooterChar"/>
    <w:uiPriority w:val="99"/>
    <w:rsid w:val="00710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0D1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710C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0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0D1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710C29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710C29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710C29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0D1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710C29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10C29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C29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0C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C29"/>
    <w:rPr>
      <w:b/>
    </w:rPr>
  </w:style>
  <w:style w:type="paragraph" w:styleId="BodyText2">
    <w:name w:val="Body Text 2"/>
    <w:basedOn w:val="Normal"/>
    <w:link w:val="BodyText2Char"/>
    <w:uiPriority w:val="99"/>
    <w:rsid w:val="00710C29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0D1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710C29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0D1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710C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9432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S14: Complete list of all spots picked and Proteins identified in HA24</dc:title>
  <dc:subject/>
  <dc:creator>Kather  von Loehneysen</dc:creator>
  <cp:keywords/>
  <cp:lastModifiedBy>Kather  von Loehneysen</cp:lastModifiedBy>
  <cp:revision>1</cp:revision>
  <dcterms:created xsi:type="dcterms:W3CDTF">2012-03-07T02:06:00Z</dcterms:created>
  <dcterms:modified xsi:type="dcterms:W3CDTF">2012-03-07T02:07:00Z</dcterms:modified>
</cp:coreProperties>
</file>