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5"/>
        <w:gridCol w:w="2900"/>
        <w:gridCol w:w="2640"/>
        <w:gridCol w:w="3220"/>
        <w:gridCol w:w="2400"/>
      </w:tblGrid>
      <w:tr w:rsidR="00017265" w:rsidRPr="00FA0B9F" w:rsidTr="005674C7">
        <w:trPr>
          <w:trHeight w:val="300"/>
        </w:trPr>
        <w:tc>
          <w:tcPr>
            <w:tcW w:w="3205" w:type="dxa"/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bookmarkStart w:id="0" w:name="_GoBack" w:colFirst="1" w:colLast="1"/>
          </w:p>
        </w:tc>
        <w:tc>
          <w:tcPr>
            <w:tcW w:w="5540" w:type="dxa"/>
            <w:gridSpan w:val="2"/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Afssaps</w:t>
            </w:r>
            <w:proofErr w:type="spellEnd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620" w:type="dxa"/>
            <w:gridSpan w:val="2"/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Revue </w:t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Prescrire</w:t>
            </w:r>
            <w:proofErr w:type="spellEnd"/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Adverse reaction</w:t>
            </w:r>
          </w:p>
        </w:tc>
        <w:tc>
          <w:tcPr>
            <w:tcW w:w="264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Level of seriousness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val="en-US"/>
              </w:rPr>
              <w:t>†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 and </w:t>
            </w:r>
            <w:r w:rsidRPr="00FA0B9F">
              <w:rPr>
                <w:rFonts w:ascii="Cambria" w:eastAsia="Times New Roman" w:hAnsi="Cambria" w:cs="Times New Roman"/>
                <w:kern w:val="0"/>
                <w:sz w:val="18"/>
                <w:szCs w:val="18"/>
                <w:lang w:val="en-US" w:eastAsia="fr-FR" w:bidi="ar-SA"/>
              </w:rPr>
              <w:t>recommendations</w:t>
            </w:r>
          </w:p>
        </w:tc>
        <w:tc>
          <w:tcPr>
            <w:tcW w:w="322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Adverse reaction</w:t>
            </w: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Level of seriousness and </w:t>
            </w:r>
            <w:r w:rsidRPr="00FA0B9F">
              <w:rPr>
                <w:rFonts w:ascii="Cambria" w:eastAsia="Times New Roman" w:hAnsi="Cambria" w:cs="Times New Roman"/>
                <w:kern w:val="0"/>
                <w:sz w:val="18"/>
                <w:szCs w:val="18"/>
                <w:lang w:val="en-US" w:eastAsia="fr-FR" w:bidi="ar-SA"/>
              </w:rPr>
              <w:t>recommendations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rPr>
                <w:rFonts w:ascii="Cambria" w:hAnsi="Cambria" w:cs="Times New Roman"/>
                <w:b/>
                <w:sz w:val="18"/>
                <w:szCs w:val="18"/>
                <w:lang w:val="en-US"/>
              </w:rPr>
            </w:pPr>
            <w:r w:rsidRPr="00FA0B9F">
              <w:rPr>
                <w:rFonts w:ascii="Cambria" w:hAnsi="Cambria" w:cs="Times New Roman"/>
                <w:b/>
                <w:sz w:val="18"/>
                <w:szCs w:val="18"/>
                <w:lang w:val="en-US"/>
              </w:rPr>
              <w:t>Beta-blocking agents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1350"/>
        </w:trPr>
        <w:tc>
          <w:tcPr>
            <w:tcW w:w="3205" w:type="dxa"/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Acebutolol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atenolol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betaxolol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bisoprolol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carteolol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carvedilol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celiprolol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labetalol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metoprolol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nadolol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nebivolol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oxprenolol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penbutolol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pindolol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propranolol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sotalol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tertatolol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timolol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Inhibition of antihypertensive effect </w:t>
            </w:r>
          </w:p>
        </w:tc>
        <w:tc>
          <w:tcPr>
            <w:tcW w:w="2640" w:type="dxa"/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b/>
                <w:kern w:val="0"/>
                <w:sz w:val="18"/>
                <w:szCs w:val="18"/>
                <w:lang w:val="en-US" w:eastAsia="fr-FR" w:bidi="ar-SA"/>
              </w:rPr>
              <w:t>To take into account</w:t>
            </w:r>
          </w:p>
        </w:tc>
        <w:tc>
          <w:tcPr>
            <w:tcW w:w="3220" w:type="dxa"/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Inhibition of antihypertensive effect </w:t>
            </w:r>
          </w:p>
        </w:tc>
        <w:tc>
          <w:tcPr>
            <w:tcW w:w="2400" w:type="dxa"/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Nimbus sans l" w:hAnsi="Cambria" w:cs="Times New Roman"/>
                <w:b/>
                <w:sz w:val="18"/>
                <w:szCs w:val="18"/>
                <w:lang w:val="en-US"/>
              </w:rPr>
              <w:t>Angiotensin Converter Enzyme Inhibitors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1125"/>
        </w:trPr>
        <w:tc>
          <w:tcPr>
            <w:tcW w:w="3205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Benazepril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captopril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cilazapril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enalapril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fosinopril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imidapril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lisinopril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moexipril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perindopril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quinapril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ramipril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trandolapril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zofenopril</w:t>
            </w:r>
            <w:proofErr w:type="spellEnd"/>
          </w:p>
        </w:tc>
        <w:tc>
          <w:tcPr>
            <w:tcW w:w="290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Inhibition of antihypertensive effect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 xml:space="preserve">Acute renal failure in "at risk" patient (elderly or dehydration)   </w:t>
            </w:r>
          </w:p>
        </w:tc>
        <w:tc>
          <w:tcPr>
            <w:tcW w:w="264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b/>
                <w:kern w:val="0"/>
                <w:sz w:val="18"/>
                <w:szCs w:val="18"/>
                <w:lang w:val="en-US" w:eastAsia="fr-FR" w:bidi="ar-SA"/>
              </w:rPr>
              <w:t>Precaution for use</w:t>
            </w:r>
          </w:p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kern w:val="0"/>
                <w:sz w:val="18"/>
                <w:szCs w:val="18"/>
                <w:lang w:val="en-US" w:eastAsia="fr-FR" w:bidi="ar-SA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Hydrate the patient et monitor renal function after onset of therapy</w:t>
            </w:r>
          </w:p>
        </w:tc>
        <w:tc>
          <w:tcPr>
            <w:tcW w:w="322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Inhibition of antihypertensive effect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 xml:space="preserve">Acute renal failure in patients with </w:t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hypovolemia</w:t>
            </w:r>
            <w:proofErr w:type="spellEnd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 or dehydration</w:t>
            </w:r>
          </w:p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Hyperkaliemia</w:t>
            </w:r>
            <w:proofErr w:type="spellEnd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Hyponatremia</w:t>
            </w:r>
            <w:proofErr w:type="spellEnd"/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b/>
                <w:kern w:val="0"/>
                <w:sz w:val="18"/>
                <w:szCs w:val="18"/>
                <w:lang w:val="en-US" w:eastAsia="fr-FR" w:bidi="ar-SA"/>
              </w:rPr>
              <w:t>To avoid</w:t>
            </w:r>
          </w:p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Monitor creatinine clearance and serum potassium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Nimbus sans l" w:hAnsi="Cambria" w:cs="Times New Roman"/>
                <w:b/>
                <w:sz w:val="18"/>
                <w:szCs w:val="18"/>
                <w:lang w:val="en-US"/>
              </w:rPr>
              <w:t>Angiotensin Receptor Blockers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1125"/>
        </w:trPr>
        <w:tc>
          <w:tcPr>
            <w:tcW w:w="3205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Candesartan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eprosartan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irbesartan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losartan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olmesartan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telmisartan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valsartan</w:t>
            </w:r>
            <w:proofErr w:type="spellEnd"/>
          </w:p>
        </w:tc>
        <w:tc>
          <w:tcPr>
            <w:tcW w:w="290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Inhibition of antihypertensive effect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 xml:space="preserve">Acute renal failure in "at risk" patient (elderly or dehydration)   </w:t>
            </w:r>
          </w:p>
        </w:tc>
        <w:tc>
          <w:tcPr>
            <w:tcW w:w="264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b/>
                <w:kern w:val="0"/>
                <w:sz w:val="18"/>
                <w:szCs w:val="18"/>
                <w:lang w:val="en-US" w:eastAsia="fr-FR" w:bidi="ar-SA"/>
              </w:rPr>
              <w:t>Precaution for use</w:t>
            </w:r>
          </w:p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kern w:val="0"/>
                <w:sz w:val="18"/>
                <w:szCs w:val="18"/>
                <w:lang w:val="en-US" w:eastAsia="fr-FR" w:bidi="ar-SA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Hydrate the patient et monitor renal function after onset of therapy</w:t>
            </w:r>
          </w:p>
        </w:tc>
        <w:tc>
          <w:tcPr>
            <w:tcW w:w="322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Inhibition of antihypertensive effect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 xml:space="preserve">Acute renal failure in patients with </w:t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hypovolemia</w:t>
            </w:r>
            <w:proofErr w:type="spellEnd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 or dehydration</w:t>
            </w:r>
          </w:p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Hyperkaliemia</w:t>
            </w:r>
            <w:proofErr w:type="spellEnd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Hyponatremia</w:t>
            </w:r>
            <w:proofErr w:type="spellEnd"/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b/>
                <w:kern w:val="0"/>
                <w:sz w:val="18"/>
                <w:szCs w:val="18"/>
                <w:lang w:val="en-US" w:eastAsia="fr-FR" w:bidi="ar-SA"/>
              </w:rPr>
              <w:t>To avoid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 xml:space="preserve">Monitor creatinine clearance and </w:t>
            </w:r>
            <w:r w:rsidRPr="00546E0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serum potassium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  <w:t>Renin inhibitors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Aliskiren</w:t>
            </w:r>
            <w:proofErr w:type="spellEnd"/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Inhibition of antihypertensive effect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>Risk of acute renal failure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b/>
                <w:kern w:val="0"/>
                <w:sz w:val="18"/>
                <w:szCs w:val="18"/>
                <w:lang w:val="en-US" w:eastAsia="fr-FR" w:bidi="ar-SA"/>
              </w:rPr>
              <w:t>To avoid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 xml:space="preserve">Monitor creatinine clearance and </w:t>
            </w:r>
            <w:r w:rsidRPr="00546E0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serum potassium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7265" w:rsidRPr="00FA0B9F" w:rsidRDefault="00017265" w:rsidP="005674C7">
            <w:pPr>
              <w:rPr>
                <w:rFonts w:ascii="Cambria" w:hAnsi="Cambria" w:cs="Times New Roman"/>
                <w:b/>
                <w:sz w:val="18"/>
                <w:szCs w:val="18"/>
                <w:lang w:val="en-US"/>
              </w:rPr>
            </w:pPr>
            <w:r w:rsidRPr="00FA0B9F">
              <w:rPr>
                <w:rFonts w:ascii="Cambria" w:hAnsi="Cambria" w:cs="Times New Roman"/>
                <w:b/>
                <w:sz w:val="18"/>
                <w:szCs w:val="18"/>
                <w:lang w:val="en-US"/>
              </w:rPr>
              <w:t>Calcium channel blockers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Amlodipine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diltiazem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felodipine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isradipine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lacidipine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lercanidipine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manidipine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mibefradil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nicardipine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nifedipine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nitrendipine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verapamil</w:t>
            </w:r>
            <w:proofErr w:type="spellEnd"/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Inhibition of antihypertensive effect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hAnsi="Cambria" w:cs="Times New Roman"/>
                <w:b/>
                <w:sz w:val="18"/>
                <w:szCs w:val="18"/>
                <w:lang w:val="en-US"/>
              </w:rPr>
              <w:t>Diuretics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>Low</w:t>
            </w:r>
            <w:proofErr w:type="spellEnd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>ceiling</w:t>
            </w:r>
            <w:proofErr w:type="spellEnd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>diuretics</w:t>
            </w:r>
            <w:proofErr w:type="spellEnd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>including</w:t>
            </w:r>
            <w:proofErr w:type="spellEnd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>thiazides</w:t>
            </w:r>
            <w:proofErr w:type="spellEnd"/>
            <w:r w:rsidRPr="00FA0B9F">
              <w:rPr>
                <w:rFonts w:ascii="Cambria" w:eastAsia="Nimbus sans l" w:hAnsi="Cambria" w:cs="Times New Roman"/>
                <w:i/>
                <w:iCs/>
                <w:sz w:val="20"/>
                <w:szCs w:val="20"/>
              </w:rPr>
              <w:t>):</w:t>
            </w:r>
            <w:r w:rsidRPr="00FA0B9F">
              <w:rPr>
                <w:rFonts w:ascii="Cambria" w:eastAsia="Nimbus sans l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eastAsia="Nimbus sans l" w:hAnsi="Cambria" w:cs="Times New Roman"/>
                <w:sz w:val="20"/>
                <w:szCs w:val="20"/>
              </w:rPr>
              <w:t>altizide</w:t>
            </w:r>
            <w:proofErr w:type="spellEnd"/>
            <w:r w:rsidRPr="00FA0B9F">
              <w:rPr>
                <w:rFonts w:ascii="Cambria" w:eastAsia="Nimbus sans l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eastAsia="Nimbus sans l" w:hAnsi="Cambria" w:cs="Times New Roman"/>
                <w:sz w:val="20"/>
                <w:szCs w:val="20"/>
              </w:rPr>
              <w:lastRenderedPageBreak/>
              <w:t>bendroflumethiazide</w:t>
            </w:r>
            <w:proofErr w:type="spellEnd"/>
            <w:r w:rsidRPr="00FA0B9F">
              <w:rPr>
                <w:rFonts w:ascii="Cambria" w:eastAsia="Nimbus sans l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eastAsia="Nimbus sans l" w:hAnsi="Cambria" w:cs="Times New Roman"/>
                <w:sz w:val="20"/>
                <w:szCs w:val="20"/>
              </w:rPr>
              <w:t>chlortalidone</w:t>
            </w:r>
            <w:proofErr w:type="spellEnd"/>
            <w:r w:rsidRPr="00FA0B9F">
              <w:rPr>
                <w:rFonts w:ascii="Cambria" w:eastAsia="Nimbus sans l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cicletanine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clopamide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cyclothiazide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hydrochlorothiazide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indapamide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methylclothiazide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xipamide</w:t>
            </w:r>
            <w:proofErr w:type="spellEnd"/>
          </w:p>
          <w:p w:rsidR="00017265" w:rsidRPr="00FA0B9F" w:rsidRDefault="00017265" w:rsidP="005674C7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FA0B9F">
              <w:rPr>
                <w:rFonts w:ascii="Cambria" w:hAnsi="Cambria" w:cs="Times New Roman"/>
                <w:i/>
                <w:sz w:val="20"/>
                <w:szCs w:val="20"/>
              </w:rPr>
              <w:t>Loop</w:t>
            </w:r>
            <w:proofErr w:type="spellEnd"/>
            <w:r w:rsidRPr="00FA0B9F">
              <w:rPr>
                <w:rFonts w:ascii="Cambria" w:hAnsi="Cambri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hAnsi="Cambria" w:cs="Times New Roman"/>
                <w:i/>
                <w:sz w:val="20"/>
                <w:szCs w:val="20"/>
              </w:rPr>
              <w:t>diuretics</w:t>
            </w:r>
            <w:proofErr w:type="spellEnd"/>
            <w:r w:rsidRPr="00FA0B9F">
              <w:rPr>
                <w:rFonts w:ascii="Cambria" w:hAnsi="Cambria" w:cs="Times New Roman"/>
                <w:i/>
                <w:sz w:val="20"/>
                <w:szCs w:val="20"/>
              </w:rPr>
              <w:t>:</w:t>
            </w:r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bumetanide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furosemide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piretanide</w:t>
            </w:r>
            <w:proofErr w:type="spellEnd"/>
          </w:p>
          <w:p w:rsidR="00017265" w:rsidRPr="00FA0B9F" w:rsidRDefault="00017265" w:rsidP="005674C7">
            <w:pPr>
              <w:rPr>
                <w:rFonts w:ascii="Cambria" w:eastAsia="Arial" w:hAnsi="Cambria" w:cs="Times New Roman"/>
                <w:sz w:val="20"/>
                <w:szCs w:val="20"/>
              </w:rPr>
            </w:pPr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>Potassium-</w:t>
            </w:r>
            <w:proofErr w:type="spellStart"/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>sparing</w:t>
            </w:r>
            <w:proofErr w:type="spellEnd"/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agents:</w:t>
            </w:r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eastAsia="Arial" w:hAnsi="Cambria" w:cs="Times New Roman"/>
                <w:sz w:val="20"/>
                <w:szCs w:val="20"/>
              </w:rPr>
              <w:t>spironolactone</w:t>
            </w:r>
            <w:proofErr w:type="spellEnd"/>
            <w:r w:rsidRPr="00FA0B9F">
              <w:rPr>
                <w:rFonts w:ascii="Cambria" w:eastAsia="Arial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eastAsia="Arial" w:hAnsi="Cambria" w:cs="Times New Roman"/>
                <w:sz w:val="20"/>
                <w:szCs w:val="20"/>
              </w:rPr>
              <w:t>amiloride</w:t>
            </w:r>
            <w:proofErr w:type="spellEnd"/>
            <w:r w:rsidRPr="00FA0B9F">
              <w:rPr>
                <w:rFonts w:ascii="Cambria" w:eastAsia="Arial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eastAsia="Arial" w:hAnsi="Cambria" w:cs="Times New Roman"/>
                <w:sz w:val="20"/>
                <w:szCs w:val="20"/>
              </w:rPr>
              <w:t>triamterene</w:t>
            </w:r>
            <w:proofErr w:type="spellEnd"/>
            <w:r w:rsidRPr="00FA0B9F">
              <w:rPr>
                <w:rFonts w:ascii="Cambria" w:eastAsia="Arial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lastRenderedPageBreak/>
              <w:t>Inhibition of antihypertensive effect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Acute renal failure in "at risk" patient (elderly or dehydration)   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</w:tcPr>
          <w:p w:rsidR="00017265" w:rsidRPr="00FA0B9F" w:rsidRDefault="00017265" w:rsidP="005674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b/>
                <w:kern w:val="0"/>
                <w:sz w:val="18"/>
                <w:szCs w:val="18"/>
                <w:lang w:val="en-US" w:eastAsia="fr-FR" w:bidi="ar-SA"/>
              </w:rPr>
              <w:lastRenderedPageBreak/>
              <w:t>Precaution for use</w:t>
            </w:r>
          </w:p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kern w:val="0"/>
                <w:sz w:val="18"/>
                <w:szCs w:val="18"/>
                <w:lang w:val="en-US" w:eastAsia="fr-FR" w:bidi="ar-SA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Hydrate the patient et monitor 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lastRenderedPageBreak/>
              <w:t>renal function after onset of therapy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lastRenderedPageBreak/>
              <w:t>Inhibition of antihypertensive effect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 xml:space="preserve">Acute renal failure in patients with </w:t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lastRenderedPageBreak/>
              <w:t>hypovolemia</w:t>
            </w:r>
            <w:proofErr w:type="spellEnd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 or dehydration</w:t>
            </w:r>
          </w:p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Hyperkaliemia</w:t>
            </w:r>
            <w:proofErr w:type="spellEnd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Hyponatremia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b/>
                <w:kern w:val="0"/>
                <w:sz w:val="18"/>
                <w:szCs w:val="18"/>
                <w:lang w:val="en-US" w:eastAsia="fr-FR" w:bidi="ar-SA"/>
              </w:rPr>
              <w:lastRenderedPageBreak/>
              <w:t>To avoid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 xml:space="preserve">Monitor creatinine 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clearance and </w:t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kaliemia</w:t>
            </w:r>
            <w:proofErr w:type="spellEnd"/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7265" w:rsidRPr="00FA0B9F" w:rsidRDefault="00017265" w:rsidP="005674C7">
            <w:pPr>
              <w:rPr>
                <w:rFonts w:ascii="Cambria" w:hAnsi="Cambria" w:cs="Times New Roman"/>
                <w:b/>
                <w:sz w:val="18"/>
                <w:szCs w:val="18"/>
                <w:lang w:val="en-US"/>
              </w:rPr>
            </w:pPr>
            <w:r w:rsidRPr="00FA0B9F">
              <w:rPr>
                <w:rFonts w:ascii="Cambria" w:hAnsi="Cambria" w:cs="Times New Roman"/>
                <w:b/>
                <w:sz w:val="18"/>
                <w:szCs w:val="18"/>
                <w:lang w:val="en-US"/>
              </w:rPr>
              <w:lastRenderedPageBreak/>
              <w:t>Alpha-Blocking agents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Prazosine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urapidil</w:t>
            </w:r>
            <w:proofErr w:type="spellEnd"/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Inhibition of antihypertensive effect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hAnsi="Cambria" w:cs="Times New Roman"/>
                <w:b/>
                <w:sz w:val="18"/>
                <w:szCs w:val="18"/>
                <w:lang w:val="en-US"/>
              </w:rPr>
              <w:t xml:space="preserve">Other </w:t>
            </w:r>
            <w:proofErr w:type="spellStart"/>
            <w:r w:rsidRPr="00FA0B9F">
              <w:rPr>
                <w:rFonts w:ascii="Cambria" w:hAnsi="Cambria" w:cs="Times New Roman"/>
                <w:b/>
                <w:sz w:val="18"/>
                <w:szCs w:val="18"/>
                <w:lang w:val="en-US"/>
              </w:rPr>
              <w:t>antihypertensives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265" w:rsidRPr="00FA0B9F" w:rsidTr="005674C7">
        <w:trPr>
          <w:trHeight w:val="300"/>
        </w:trPr>
        <w:tc>
          <w:tcPr>
            <w:tcW w:w="32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265" w:rsidRPr="00FA0B9F" w:rsidRDefault="00017265" w:rsidP="005674C7">
            <w:pPr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>Centrally</w:t>
            </w:r>
            <w:proofErr w:type="spellEnd"/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acting agents:</w:t>
            </w:r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clonidine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guanfacine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bookmarkStart w:id="1" w:name="__DdeLink__3418_726748636"/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methyldopa</w:t>
            </w:r>
            <w:bookmarkEnd w:id="1"/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moxonidine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reserpine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rilmenidine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Agents acting on </w:t>
            </w:r>
            <w:proofErr w:type="spellStart"/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>arteriolar</w:t>
            </w:r>
            <w:proofErr w:type="spellEnd"/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>smooth</w:t>
            </w:r>
            <w:proofErr w:type="spellEnd"/>
            <w:r w:rsidRPr="00FA0B9F">
              <w:rPr>
                <w:rFonts w:ascii="Cambria" w:hAnsi="Cambria" w:cs="Times New Roman"/>
                <w:i/>
                <w:iCs/>
                <w:sz w:val="20"/>
                <w:szCs w:val="20"/>
              </w:rPr>
              <w:t xml:space="preserve"> muscle:</w:t>
            </w:r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minoxidil</w:t>
            </w:r>
            <w:proofErr w:type="spellEnd"/>
            <w:r w:rsidRPr="00FA0B9F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  <w:proofErr w:type="spellStart"/>
            <w:r w:rsidRPr="00FA0B9F">
              <w:rPr>
                <w:rFonts w:ascii="Cambria" w:hAnsi="Cambria" w:cs="Times New Roman"/>
                <w:sz w:val="20"/>
                <w:szCs w:val="20"/>
              </w:rPr>
              <w:t>dihydralazine</w:t>
            </w:r>
            <w:proofErr w:type="spellEnd"/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Inhibition of antihypertensive effect</w:t>
            </w: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br/>
              <w:t xml:space="preserve">Risk of dose </w:t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dependant</w:t>
            </w:r>
            <w:proofErr w:type="spellEnd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 xml:space="preserve"> adverse reaction  with NSAID for clonidine et </w:t>
            </w:r>
            <w:proofErr w:type="spellStart"/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mixonidine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17265" w:rsidRPr="00FA0B9F" w:rsidRDefault="00017265" w:rsidP="005674C7">
            <w:pPr>
              <w:suppressAutoHyphens w:val="0"/>
              <w:snapToGrid w:val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FA0B9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Monitor creatinine clearance</w:t>
            </w:r>
          </w:p>
        </w:tc>
      </w:tr>
      <w:bookmarkEnd w:id="0"/>
    </w:tbl>
    <w:p w:rsidR="00540FD5" w:rsidRDefault="00540FD5"/>
    <w:sectPr w:rsidR="00540FD5" w:rsidSect="00017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sans l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65"/>
    <w:rsid w:val="00017265"/>
    <w:rsid w:val="005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6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2012-01-12T13:03:00Z</dcterms:created>
  <dcterms:modified xsi:type="dcterms:W3CDTF">2012-01-12T13:04:00Z</dcterms:modified>
</cp:coreProperties>
</file>