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B3" w:rsidRPr="00FE56F3" w:rsidRDefault="00491DB3" w:rsidP="00FE56F3">
      <w:pPr>
        <w:rPr>
          <w:b/>
          <w:color w:val="000000"/>
        </w:rPr>
      </w:pPr>
      <w:r w:rsidRPr="009D3460">
        <w:rPr>
          <w:b/>
          <w:color w:val="000000"/>
        </w:rPr>
        <w:t>List S1</w:t>
      </w:r>
      <w:r w:rsidRPr="009D3460">
        <w:rPr>
          <w:b/>
          <w:color w:val="000000"/>
        </w:rPr>
        <w:tab/>
        <w:t xml:space="preserve"> </w:t>
      </w:r>
      <w:r w:rsidRPr="009D3460">
        <w:rPr>
          <w:b/>
          <w:color w:val="000000"/>
        </w:rPr>
        <w:tab/>
        <w:t>GATS Collaborating Group</w:t>
      </w:r>
    </w:p>
    <w:tbl>
      <w:tblPr>
        <w:tblStyle w:val="TableGrid"/>
        <w:tblW w:w="106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752"/>
        <w:gridCol w:w="4410"/>
      </w:tblGrid>
      <w:tr w:rsidR="00491DB3" w:rsidRPr="009D3460" w:rsidTr="005301F4">
        <w:tc>
          <w:tcPr>
            <w:tcW w:w="10620" w:type="dxa"/>
            <w:gridSpan w:val="3"/>
          </w:tcPr>
          <w:p w:rsidR="00491DB3" w:rsidRPr="009D3460" w:rsidRDefault="00491DB3" w:rsidP="005301F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DB3" w:rsidRPr="009D3460" w:rsidRDefault="00491DB3" w:rsidP="005301F4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9D3460">
              <w:rPr>
                <w:rFonts w:ascii="Times New Roman" w:hAnsi="Times New Roman" w:cs="Times New Roman"/>
              </w:rPr>
              <w:t>National Agencies and Collaborators</w:t>
            </w: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sz w:val="17"/>
                <w:szCs w:val="17"/>
              </w:rPr>
            </w:pPr>
          </w:p>
        </w:tc>
        <w:tc>
          <w:tcPr>
            <w:tcW w:w="4752" w:type="dxa"/>
          </w:tcPr>
          <w:p w:rsidR="00491DB3" w:rsidRPr="009D3460" w:rsidRDefault="00491DB3" w:rsidP="005301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10" w:type="dxa"/>
          </w:tcPr>
          <w:p w:rsidR="00491DB3" w:rsidRPr="009D3460" w:rsidRDefault="00491DB3" w:rsidP="005301F4">
            <w:pPr>
              <w:jc w:val="center"/>
              <w:rPr>
                <w:sz w:val="17"/>
                <w:szCs w:val="17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  <w:u w:val="single"/>
              </w:rPr>
            </w:pPr>
            <w:r w:rsidRPr="009D3460">
              <w:rPr>
                <w:b/>
                <w:sz w:val="17"/>
                <w:szCs w:val="17"/>
                <w:u w:val="single"/>
              </w:rPr>
              <w:t>Country Name</w:t>
            </w:r>
          </w:p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</w:p>
        </w:tc>
        <w:tc>
          <w:tcPr>
            <w:tcW w:w="4752" w:type="dxa"/>
          </w:tcPr>
          <w:p w:rsidR="00491DB3" w:rsidRPr="009D3460" w:rsidRDefault="00491DB3" w:rsidP="005301F4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9D3460">
              <w:rPr>
                <w:b/>
                <w:sz w:val="17"/>
                <w:szCs w:val="17"/>
                <w:u w:val="single"/>
              </w:rPr>
              <w:t>Agencies</w:t>
            </w:r>
          </w:p>
        </w:tc>
        <w:tc>
          <w:tcPr>
            <w:tcW w:w="4410" w:type="dxa"/>
          </w:tcPr>
          <w:p w:rsidR="00491DB3" w:rsidRPr="009D3460" w:rsidRDefault="00491DB3" w:rsidP="005301F4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9D3460">
              <w:rPr>
                <w:b/>
                <w:sz w:val="17"/>
                <w:szCs w:val="17"/>
                <w:u w:val="single"/>
              </w:rPr>
              <w:t>Collaborators</w:t>
            </w: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Bangladesh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>Ministry of Health and Family Welfare (</w:t>
            </w:r>
            <w:proofErr w:type="spellStart"/>
            <w:r w:rsidRPr="009D3460">
              <w:rPr>
                <w:sz w:val="18"/>
                <w:szCs w:val="18"/>
              </w:rPr>
              <w:t>MoHFW</w:t>
            </w:r>
            <w:proofErr w:type="spellEnd"/>
            <w:r w:rsidRPr="009D3460">
              <w:rPr>
                <w:sz w:val="18"/>
                <w:szCs w:val="18"/>
              </w:rPr>
              <w:t xml:space="preserve">), National Institute of Preventive &amp; Social Medicine (NIPSOM), Bangladesh Bureau of Statistics (BBS) National Institute of Population, Research &amp; Training (NIPORT)  </w:t>
            </w:r>
          </w:p>
          <w:p w:rsidR="00491DB3" w:rsidRPr="009D3460" w:rsidRDefault="00491DB3" w:rsidP="005301F4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 xml:space="preserve">Md. </w:t>
            </w:r>
            <w:proofErr w:type="spellStart"/>
            <w:r w:rsidRPr="009D3460">
              <w:rPr>
                <w:sz w:val="18"/>
                <w:szCs w:val="18"/>
              </w:rPr>
              <w:t>Amirul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Hasan</w:t>
            </w:r>
            <w:proofErr w:type="spellEnd"/>
            <w:r w:rsidRPr="009D3460">
              <w:rPr>
                <w:sz w:val="18"/>
                <w:szCs w:val="18"/>
              </w:rPr>
              <w:t xml:space="preserve"> (NIPSOM)</w:t>
            </w:r>
          </w:p>
        </w:tc>
      </w:tr>
      <w:tr w:rsidR="00491DB3" w:rsidRPr="00F9126E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Brazil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 xml:space="preserve">Ministry of Health-Secretariat of Health Surveillance (SVS), Brazilian Institute of Geography &amp;  Statistics (IBGE), National Cancer Institute (INCA), The National Health Surveillance Agency (ANVISA)  </w:t>
            </w:r>
          </w:p>
        </w:tc>
        <w:tc>
          <w:tcPr>
            <w:tcW w:w="4410" w:type="dxa"/>
          </w:tcPr>
          <w:p w:rsidR="00491DB3" w:rsidRPr="00F9126E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s-PA"/>
              </w:rPr>
            </w:pPr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>Deborah Carvalho Malta (</w:t>
            </w:r>
            <w:proofErr w:type="spellStart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>MoH</w:t>
            </w:r>
            <w:proofErr w:type="spellEnd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 xml:space="preserve">-SVS), Eduardo Pereira </w:t>
            </w:r>
            <w:proofErr w:type="spellStart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>Nunes</w:t>
            </w:r>
            <w:proofErr w:type="spellEnd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 xml:space="preserve">, Marcia </w:t>
            </w:r>
            <w:proofErr w:type="spellStart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>Quintslr</w:t>
            </w:r>
            <w:proofErr w:type="spellEnd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 xml:space="preserve">, </w:t>
            </w:r>
            <w:proofErr w:type="spellStart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>Cimar</w:t>
            </w:r>
            <w:proofErr w:type="spellEnd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>Azeredo</w:t>
            </w:r>
            <w:proofErr w:type="spellEnd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 xml:space="preserve"> (IBGE), Liz </w:t>
            </w:r>
            <w:proofErr w:type="spellStart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>Maria</w:t>
            </w:r>
            <w:proofErr w:type="spellEnd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 xml:space="preserve"> de Almeida (INCA), Humberto </w:t>
            </w:r>
            <w:proofErr w:type="spellStart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>Martins</w:t>
            </w:r>
            <w:proofErr w:type="spellEnd"/>
            <w:r w:rsidRPr="00F9126E">
              <w:rPr>
                <w:rFonts w:ascii="Times New Roman" w:hAnsi="Times New Roman" w:cs="Times New Roman"/>
                <w:sz w:val="18"/>
                <w:szCs w:val="18"/>
                <w:lang w:val="es-PA"/>
              </w:rPr>
              <w:t xml:space="preserve"> (ANVISA) </w:t>
            </w:r>
          </w:p>
          <w:p w:rsidR="00491DB3" w:rsidRPr="00F9126E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s-PA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China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>Ministry of Health (</w:t>
            </w:r>
            <w:proofErr w:type="spellStart"/>
            <w:r w:rsidRPr="009D3460">
              <w:rPr>
                <w:sz w:val="18"/>
                <w:szCs w:val="18"/>
              </w:rPr>
              <w:t>MoH</w:t>
            </w:r>
            <w:proofErr w:type="spellEnd"/>
            <w:r w:rsidRPr="009D3460">
              <w:rPr>
                <w:sz w:val="18"/>
                <w:szCs w:val="18"/>
              </w:rPr>
              <w:t>), Chinese Centers for Disease Control (China CDC)</w:t>
            </w:r>
          </w:p>
        </w:tc>
        <w:tc>
          <w:tcPr>
            <w:tcW w:w="4410" w:type="dxa"/>
          </w:tcPr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Yang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Gonghuan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, Yang Yan, Xiao Lin, Li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Qiang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(China CDC)</w:t>
            </w:r>
          </w:p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Egypt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>Ministry of Health (</w:t>
            </w:r>
            <w:proofErr w:type="spellStart"/>
            <w:r w:rsidRPr="009D3460">
              <w:rPr>
                <w:sz w:val="18"/>
                <w:szCs w:val="18"/>
              </w:rPr>
              <w:t>MoH</w:t>
            </w:r>
            <w:proofErr w:type="spellEnd"/>
            <w:r w:rsidRPr="009D3460">
              <w:rPr>
                <w:sz w:val="18"/>
                <w:szCs w:val="18"/>
              </w:rPr>
              <w:t>) Central Agency for Public Mobilization &amp; Statistics (CAPMAS)</w:t>
            </w:r>
          </w:p>
        </w:tc>
        <w:tc>
          <w:tcPr>
            <w:tcW w:w="4410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proofErr w:type="spellStart"/>
            <w:r w:rsidRPr="009D3460">
              <w:rPr>
                <w:sz w:val="18"/>
                <w:szCs w:val="18"/>
              </w:rPr>
              <w:t>Sahar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Latif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Labib</w:t>
            </w:r>
            <w:proofErr w:type="spellEnd"/>
            <w:r w:rsidRPr="009D3460">
              <w:rPr>
                <w:sz w:val="18"/>
                <w:szCs w:val="18"/>
              </w:rPr>
              <w:t xml:space="preserve"> (</w:t>
            </w:r>
            <w:proofErr w:type="spellStart"/>
            <w:r w:rsidRPr="009D3460">
              <w:rPr>
                <w:sz w:val="18"/>
                <w:szCs w:val="18"/>
              </w:rPr>
              <w:t>MoH</w:t>
            </w:r>
            <w:proofErr w:type="spellEnd"/>
            <w:r w:rsidRPr="009D3460">
              <w:rPr>
                <w:sz w:val="18"/>
                <w:szCs w:val="18"/>
              </w:rPr>
              <w:t xml:space="preserve">), </w:t>
            </w:r>
            <w:proofErr w:type="spellStart"/>
            <w:r w:rsidRPr="009D3460">
              <w:rPr>
                <w:sz w:val="18"/>
                <w:szCs w:val="18"/>
              </w:rPr>
              <w:t>Awatef</w:t>
            </w:r>
            <w:proofErr w:type="spellEnd"/>
            <w:r w:rsidRPr="009D3460">
              <w:rPr>
                <w:sz w:val="18"/>
                <w:szCs w:val="18"/>
              </w:rPr>
              <w:t xml:space="preserve"> Hussein (CAPMAS)</w:t>
            </w:r>
          </w:p>
          <w:p w:rsidR="00491DB3" w:rsidRPr="009D3460" w:rsidRDefault="00491DB3" w:rsidP="005301F4">
            <w:pPr>
              <w:rPr>
                <w:sz w:val="18"/>
                <w:szCs w:val="18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India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>Ministry of Health &amp; Family Welfare (</w:t>
            </w:r>
            <w:proofErr w:type="spellStart"/>
            <w:r w:rsidRPr="009D3460">
              <w:rPr>
                <w:sz w:val="18"/>
                <w:szCs w:val="18"/>
              </w:rPr>
              <w:t>MoHFW</w:t>
            </w:r>
            <w:proofErr w:type="spellEnd"/>
            <w:r w:rsidRPr="009D3460">
              <w:rPr>
                <w:sz w:val="18"/>
                <w:szCs w:val="18"/>
              </w:rPr>
              <w:t>) ― Government of India, International Institute for Population Sciences (IIPS)</w:t>
            </w:r>
          </w:p>
          <w:p w:rsidR="00491DB3" w:rsidRPr="009D3460" w:rsidRDefault="00491DB3" w:rsidP="005301F4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Anuradha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Vemuri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Jagdish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Kaur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MoHFW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), F. Ram,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Sulabha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Parasuraman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(IIPS) </w:t>
            </w:r>
          </w:p>
        </w:tc>
      </w:tr>
      <w:tr w:rsidR="00491DB3" w:rsidRPr="00F9126E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Mexico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>Ministry of Health (</w:t>
            </w:r>
            <w:proofErr w:type="spellStart"/>
            <w:r w:rsidRPr="009D3460">
              <w:rPr>
                <w:sz w:val="18"/>
                <w:szCs w:val="18"/>
              </w:rPr>
              <w:t>MoH</w:t>
            </w:r>
            <w:proofErr w:type="spellEnd"/>
            <w:r w:rsidRPr="009D3460">
              <w:rPr>
                <w:sz w:val="18"/>
                <w:szCs w:val="18"/>
              </w:rPr>
              <w:t>) National Institute of Public Health (INSP)</w:t>
            </w:r>
          </w:p>
        </w:tc>
        <w:tc>
          <w:tcPr>
            <w:tcW w:w="4410" w:type="dxa"/>
          </w:tcPr>
          <w:p w:rsidR="00491DB3" w:rsidRPr="00F9126E" w:rsidRDefault="00491DB3" w:rsidP="005301F4">
            <w:pPr>
              <w:rPr>
                <w:sz w:val="18"/>
                <w:szCs w:val="18"/>
                <w:lang w:val="es-PA"/>
              </w:rPr>
            </w:pPr>
            <w:r w:rsidRPr="00F9126E">
              <w:rPr>
                <w:sz w:val="18"/>
                <w:szCs w:val="18"/>
                <w:lang w:val="es-PA"/>
              </w:rPr>
              <w:t xml:space="preserve">Mauricio </w:t>
            </w:r>
            <w:proofErr w:type="spellStart"/>
            <w:r w:rsidRPr="00F9126E">
              <w:rPr>
                <w:sz w:val="18"/>
                <w:szCs w:val="18"/>
                <w:lang w:val="es-PA"/>
              </w:rPr>
              <w:t>Hernandez</w:t>
            </w:r>
            <w:proofErr w:type="spellEnd"/>
            <w:r w:rsidRPr="00F9126E">
              <w:rPr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F9126E">
              <w:rPr>
                <w:sz w:val="18"/>
                <w:szCs w:val="18"/>
                <w:lang w:val="es-PA"/>
              </w:rPr>
              <w:t>Avila</w:t>
            </w:r>
            <w:proofErr w:type="spellEnd"/>
            <w:r w:rsidRPr="00F9126E">
              <w:rPr>
                <w:sz w:val="18"/>
                <w:szCs w:val="18"/>
                <w:lang w:val="es-PA"/>
              </w:rPr>
              <w:t xml:space="preserve"> (</w:t>
            </w:r>
            <w:proofErr w:type="spellStart"/>
            <w:r w:rsidRPr="00F9126E">
              <w:rPr>
                <w:sz w:val="18"/>
                <w:szCs w:val="18"/>
                <w:lang w:val="es-PA"/>
              </w:rPr>
              <w:t>MoH</w:t>
            </w:r>
            <w:proofErr w:type="spellEnd"/>
            <w:r w:rsidRPr="00F9126E">
              <w:rPr>
                <w:sz w:val="18"/>
                <w:szCs w:val="18"/>
                <w:lang w:val="es-PA"/>
              </w:rPr>
              <w:t xml:space="preserve">), Luz Miriam </w:t>
            </w:r>
            <w:proofErr w:type="spellStart"/>
            <w:r w:rsidRPr="00F9126E">
              <w:rPr>
                <w:sz w:val="18"/>
                <w:szCs w:val="18"/>
                <w:lang w:val="es-PA"/>
              </w:rPr>
              <w:t>Reynales-Shigematsu</w:t>
            </w:r>
            <w:proofErr w:type="spellEnd"/>
            <w:r w:rsidRPr="00F9126E">
              <w:rPr>
                <w:sz w:val="18"/>
                <w:szCs w:val="18"/>
                <w:lang w:val="es-PA"/>
              </w:rPr>
              <w:t xml:space="preserve">  (INSP)</w:t>
            </w:r>
          </w:p>
          <w:p w:rsidR="00491DB3" w:rsidRPr="00F9126E" w:rsidRDefault="00491DB3" w:rsidP="005301F4">
            <w:pPr>
              <w:rPr>
                <w:sz w:val="18"/>
                <w:szCs w:val="18"/>
                <w:lang w:val="es-PA"/>
              </w:rPr>
            </w:pPr>
          </w:p>
        </w:tc>
      </w:tr>
      <w:tr w:rsidR="00491DB3" w:rsidRPr="00F9126E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Philippines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Department of Health (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DoH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), National Statistics Office (NSO) </w:t>
            </w:r>
          </w:p>
          <w:p w:rsidR="00491DB3" w:rsidRPr="009D3460" w:rsidRDefault="00491DB3" w:rsidP="005301F4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491DB3" w:rsidRPr="00F9126E" w:rsidRDefault="00491DB3" w:rsidP="005301F4">
            <w:pPr>
              <w:rPr>
                <w:sz w:val="18"/>
                <w:szCs w:val="18"/>
                <w:lang w:val="es-PA"/>
              </w:rPr>
            </w:pPr>
            <w:proofErr w:type="spellStart"/>
            <w:r w:rsidRPr="00F9126E">
              <w:rPr>
                <w:sz w:val="18"/>
                <w:szCs w:val="18"/>
                <w:lang w:val="es-PA"/>
              </w:rPr>
              <w:t>Agnes</w:t>
            </w:r>
            <w:proofErr w:type="spellEnd"/>
            <w:r w:rsidRPr="00F9126E">
              <w:rPr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F9126E">
              <w:rPr>
                <w:sz w:val="18"/>
                <w:szCs w:val="18"/>
                <w:lang w:val="es-PA"/>
              </w:rPr>
              <w:t>Segarra</w:t>
            </w:r>
            <w:proofErr w:type="spellEnd"/>
            <w:r w:rsidRPr="00F9126E">
              <w:rPr>
                <w:sz w:val="18"/>
                <w:szCs w:val="18"/>
                <w:lang w:val="es-PA"/>
              </w:rPr>
              <w:t xml:space="preserve"> (</w:t>
            </w:r>
            <w:proofErr w:type="spellStart"/>
            <w:r w:rsidRPr="00F9126E">
              <w:rPr>
                <w:sz w:val="18"/>
                <w:szCs w:val="18"/>
                <w:lang w:val="es-PA"/>
              </w:rPr>
              <w:t>DoH</w:t>
            </w:r>
            <w:proofErr w:type="spellEnd"/>
            <w:r w:rsidRPr="00F9126E">
              <w:rPr>
                <w:sz w:val="18"/>
                <w:szCs w:val="18"/>
                <w:lang w:val="es-PA"/>
              </w:rPr>
              <w:t xml:space="preserve">), Glenn </w:t>
            </w:r>
            <w:proofErr w:type="spellStart"/>
            <w:r w:rsidRPr="00F9126E">
              <w:rPr>
                <w:sz w:val="18"/>
                <w:szCs w:val="18"/>
                <w:lang w:val="es-PA"/>
              </w:rPr>
              <w:t>Barcenas</w:t>
            </w:r>
            <w:proofErr w:type="spellEnd"/>
            <w:r w:rsidRPr="00F9126E">
              <w:rPr>
                <w:sz w:val="18"/>
                <w:szCs w:val="18"/>
                <w:lang w:val="es-PA"/>
              </w:rPr>
              <w:t xml:space="preserve">, Benedicta </w:t>
            </w:r>
            <w:proofErr w:type="spellStart"/>
            <w:r w:rsidRPr="00F9126E">
              <w:rPr>
                <w:sz w:val="18"/>
                <w:szCs w:val="18"/>
                <w:lang w:val="es-PA"/>
              </w:rPr>
              <w:t>Yabut</w:t>
            </w:r>
            <w:proofErr w:type="spellEnd"/>
            <w:r w:rsidRPr="00F9126E">
              <w:rPr>
                <w:sz w:val="18"/>
                <w:szCs w:val="18"/>
                <w:lang w:val="es-PA"/>
              </w:rPr>
              <w:t xml:space="preserve"> (NSO)</w:t>
            </w:r>
          </w:p>
          <w:p w:rsidR="00491DB3" w:rsidRPr="00F9126E" w:rsidRDefault="00491DB3" w:rsidP="005301F4">
            <w:pPr>
              <w:rPr>
                <w:sz w:val="18"/>
                <w:szCs w:val="18"/>
                <w:lang w:val="es-PA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Poland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Ministry of Health (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MoH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), Maria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Skłodowska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-Curie Cancer Center Institute of Oncology, Medical University of Warsaw,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Pentor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Research International </w:t>
            </w:r>
          </w:p>
        </w:tc>
        <w:tc>
          <w:tcPr>
            <w:tcW w:w="4410" w:type="dxa"/>
          </w:tcPr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Tadeusz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Parchimowicz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MoH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Witold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Zatonski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, Krzysztof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Przewozniak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(CCI),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Filip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Raciborski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(WMU), Krzysztof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Siekierski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Pentor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Russian Federation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>Ministry of Health &amp; Social Development (</w:t>
            </w:r>
            <w:proofErr w:type="spellStart"/>
            <w:r w:rsidRPr="009D3460">
              <w:rPr>
                <w:sz w:val="18"/>
                <w:szCs w:val="18"/>
              </w:rPr>
              <w:t>MoHSD</w:t>
            </w:r>
            <w:proofErr w:type="spellEnd"/>
            <w:r w:rsidRPr="009D3460">
              <w:rPr>
                <w:sz w:val="18"/>
                <w:szCs w:val="18"/>
              </w:rPr>
              <w:t>), Federal State Statistics of Russia (</w:t>
            </w:r>
            <w:proofErr w:type="spellStart"/>
            <w:r w:rsidRPr="009D3460">
              <w:rPr>
                <w:sz w:val="18"/>
                <w:szCs w:val="18"/>
              </w:rPr>
              <w:t>RosStat</w:t>
            </w:r>
            <w:proofErr w:type="spellEnd"/>
            <w:r w:rsidRPr="009D3460">
              <w:rPr>
                <w:sz w:val="18"/>
                <w:szCs w:val="18"/>
              </w:rPr>
              <w:t>), Pulmonary Research Institute (PRI)</w:t>
            </w:r>
          </w:p>
        </w:tc>
        <w:tc>
          <w:tcPr>
            <w:tcW w:w="4410" w:type="dxa"/>
          </w:tcPr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Maria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Shevireva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, Natalya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Kostenko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MoHSD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Vadim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Nesterov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, Tamara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Chernisheva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, Tatiana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Konik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RosStat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), Galina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Sakharova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(PRI)</w:t>
            </w:r>
          </w:p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Thailand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>Ministry of Public Health (</w:t>
            </w:r>
            <w:proofErr w:type="spellStart"/>
            <w:r w:rsidRPr="009D3460">
              <w:rPr>
                <w:sz w:val="18"/>
                <w:szCs w:val="18"/>
              </w:rPr>
              <w:t>MoPH</w:t>
            </w:r>
            <w:proofErr w:type="spellEnd"/>
            <w:r w:rsidRPr="009D3460">
              <w:rPr>
                <w:sz w:val="18"/>
                <w:szCs w:val="18"/>
              </w:rPr>
              <w:t>), National Statistical Office (NSO),</w:t>
            </w:r>
          </w:p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 xml:space="preserve">Tobacco Control Research &amp; Knowledge Management Center (TRC) at </w:t>
            </w:r>
            <w:proofErr w:type="spellStart"/>
            <w:r w:rsidRPr="009D3460">
              <w:rPr>
                <w:sz w:val="18"/>
                <w:szCs w:val="18"/>
              </w:rPr>
              <w:t>Mahidol</w:t>
            </w:r>
            <w:proofErr w:type="spellEnd"/>
            <w:r w:rsidRPr="009D3460">
              <w:rPr>
                <w:sz w:val="18"/>
                <w:szCs w:val="18"/>
              </w:rPr>
              <w:t xml:space="preserve"> University</w:t>
            </w:r>
          </w:p>
        </w:tc>
        <w:tc>
          <w:tcPr>
            <w:tcW w:w="4410" w:type="dxa"/>
          </w:tcPr>
          <w:p w:rsidR="00491DB3" w:rsidRPr="009D3460" w:rsidRDefault="00491DB3" w:rsidP="005301F4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9D3460">
              <w:rPr>
                <w:sz w:val="18"/>
                <w:szCs w:val="18"/>
              </w:rPr>
              <w:t>Sarunya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Benjakul</w:t>
            </w:r>
            <w:proofErr w:type="spellEnd"/>
            <w:r w:rsidRPr="009D3460">
              <w:rPr>
                <w:sz w:val="18"/>
                <w:szCs w:val="18"/>
              </w:rPr>
              <w:t xml:space="preserve"> (</w:t>
            </w:r>
            <w:proofErr w:type="spellStart"/>
            <w:r w:rsidRPr="009D3460">
              <w:rPr>
                <w:sz w:val="18"/>
                <w:szCs w:val="18"/>
              </w:rPr>
              <w:t>MoPH</w:t>
            </w:r>
            <w:proofErr w:type="spellEnd"/>
            <w:r w:rsidRPr="009D3460">
              <w:rPr>
                <w:sz w:val="18"/>
                <w:szCs w:val="18"/>
              </w:rPr>
              <w:t xml:space="preserve">), </w:t>
            </w:r>
            <w:proofErr w:type="spellStart"/>
            <w:r w:rsidRPr="009D3460">
              <w:rPr>
                <w:sz w:val="18"/>
                <w:szCs w:val="18"/>
              </w:rPr>
              <w:t>Lakkhana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Termsirikulchai</w:t>
            </w:r>
            <w:proofErr w:type="spellEnd"/>
            <w:r w:rsidRPr="009D3460">
              <w:rPr>
                <w:sz w:val="18"/>
                <w:szCs w:val="18"/>
              </w:rPr>
              <w:t xml:space="preserve">, </w:t>
            </w:r>
            <w:proofErr w:type="spellStart"/>
            <w:r w:rsidRPr="009D3460">
              <w:rPr>
                <w:sz w:val="18"/>
                <w:szCs w:val="18"/>
              </w:rPr>
              <w:t>Mondha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Kengganpanich</w:t>
            </w:r>
            <w:proofErr w:type="spellEnd"/>
            <w:r w:rsidRPr="009D3460">
              <w:rPr>
                <w:sz w:val="18"/>
                <w:szCs w:val="18"/>
              </w:rPr>
              <w:t xml:space="preserve"> (TRC), </w:t>
            </w:r>
            <w:proofErr w:type="spellStart"/>
            <w:r w:rsidRPr="009D3460">
              <w:rPr>
                <w:sz w:val="18"/>
                <w:szCs w:val="18"/>
              </w:rPr>
              <w:t>Areerat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Lohtongmongkol</w:t>
            </w:r>
            <w:proofErr w:type="spellEnd"/>
            <w:r w:rsidRPr="009D3460">
              <w:rPr>
                <w:sz w:val="18"/>
                <w:szCs w:val="18"/>
              </w:rPr>
              <w:t xml:space="preserve">, </w:t>
            </w:r>
            <w:proofErr w:type="spellStart"/>
            <w:r w:rsidRPr="009D3460">
              <w:rPr>
                <w:color w:val="000000"/>
                <w:sz w:val="18"/>
                <w:szCs w:val="18"/>
              </w:rPr>
              <w:t>Hataichanok</w:t>
            </w:r>
            <w:proofErr w:type="spellEnd"/>
            <w:r w:rsidRPr="009D34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color w:val="000000"/>
                <w:sz w:val="18"/>
                <w:szCs w:val="18"/>
              </w:rPr>
              <w:t>Puckcharern</w:t>
            </w:r>
            <w:proofErr w:type="spellEnd"/>
            <w:r w:rsidRPr="009D346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460">
              <w:rPr>
                <w:color w:val="000000"/>
                <w:sz w:val="18"/>
                <w:szCs w:val="18"/>
              </w:rPr>
              <w:t>Chitrlada</w:t>
            </w:r>
            <w:proofErr w:type="spellEnd"/>
            <w:r w:rsidRPr="009D34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color w:val="000000"/>
                <w:sz w:val="18"/>
                <w:szCs w:val="18"/>
              </w:rPr>
              <w:t>Touchchai</w:t>
            </w:r>
            <w:proofErr w:type="spellEnd"/>
            <w:r w:rsidRPr="009D3460">
              <w:rPr>
                <w:color w:val="000000"/>
                <w:sz w:val="18"/>
                <w:szCs w:val="18"/>
              </w:rPr>
              <w:t xml:space="preserve"> (NSO)</w:t>
            </w:r>
          </w:p>
          <w:p w:rsidR="00491DB3" w:rsidRPr="009D3460" w:rsidRDefault="00491DB3" w:rsidP="005301F4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Turkey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>Ministry of Health (</w:t>
            </w:r>
            <w:proofErr w:type="spellStart"/>
            <w:r w:rsidRPr="009D3460">
              <w:rPr>
                <w:sz w:val="18"/>
                <w:szCs w:val="18"/>
              </w:rPr>
              <w:t>MoH</w:t>
            </w:r>
            <w:proofErr w:type="spellEnd"/>
            <w:r w:rsidRPr="009D3460">
              <w:rPr>
                <w:sz w:val="18"/>
                <w:szCs w:val="18"/>
              </w:rPr>
              <w:t>), Turkish Statistical Institute (</w:t>
            </w:r>
            <w:proofErr w:type="spellStart"/>
            <w:r w:rsidRPr="009D3460">
              <w:rPr>
                <w:sz w:val="18"/>
                <w:szCs w:val="18"/>
              </w:rPr>
              <w:t>TurkStat</w:t>
            </w:r>
            <w:proofErr w:type="spellEnd"/>
            <w:r w:rsidRPr="009D3460">
              <w:rPr>
                <w:sz w:val="18"/>
                <w:szCs w:val="18"/>
              </w:rPr>
              <w:t xml:space="preserve">), </w:t>
            </w:r>
            <w:proofErr w:type="spellStart"/>
            <w:r w:rsidRPr="009D3460">
              <w:rPr>
                <w:sz w:val="18"/>
                <w:szCs w:val="18"/>
              </w:rPr>
              <w:t>Hacetteppe</w:t>
            </w:r>
            <w:proofErr w:type="spellEnd"/>
            <w:r w:rsidRPr="009D3460">
              <w:rPr>
                <w:sz w:val="18"/>
                <w:szCs w:val="18"/>
              </w:rPr>
              <w:t xml:space="preserve"> University (HU)</w:t>
            </w:r>
          </w:p>
        </w:tc>
        <w:tc>
          <w:tcPr>
            <w:tcW w:w="4410" w:type="dxa"/>
          </w:tcPr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Hüseyin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İlter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MoH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Tasti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Ramazan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Celikkaya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Guzin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Erdogan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Turkstat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Nazmi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Bilir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Hilal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Özcebe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 xml:space="preserve"> (HU)</w:t>
            </w:r>
          </w:p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Ukraine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>Ministry of Health (</w:t>
            </w:r>
            <w:proofErr w:type="spellStart"/>
            <w:r w:rsidRPr="009D3460">
              <w:rPr>
                <w:sz w:val="18"/>
                <w:szCs w:val="18"/>
              </w:rPr>
              <w:t>MoH</w:t>
            </w:r>
            <w:proofErr w:type="spellEnd"/>
            <w:r w:rsidRPr="009D3460">
              <w:rPr>
                <w:sz w:val="18"/>
                <w:szCs w:val="18"/>
              </w:rPr>
              <w:t>), Kiev International Institute of Sociology (KIIS), School of Public Health, National University of Kyiv-</w:t>
            </w:r>
            <w:proofErr w:type="spellStart"/>
            <w:r w:rsidRPr="009D3460">
              <w:rPr>
                <w:sz w:val="18"/>
                <w:szCs w:val="18"/>
              </w:rPr>
              <w:t>Mohyla</w:t>
            </w:r>
            <w:proofErr w:type="spellEnd"/>
            <w:r w:rsidRPr="009D3460">
              <w:rPr>
                <w:sz w:val="18"/>
                <w:szCs w:val="18"/>
              </w:rPr>
              <w:t xml:space="preserve"> Academy (SPH)</w:t>
            </w:r>
          </w:p>
        </w:tc>
        <w:tc>
          <w:tcPr>
            <w:tcW w:w="4410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proofErr w:type="spellStart"/>
            <w:r w:rsidRPr="009D3460">
              <w:rPr>
                <w:sz w:val="18"/>
                <w:szCs w:val="18"/>
              </w:rPr>
              <w:t>Alla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Grygorenko</w:t>
            </w:r>
            <w:proofErr w:type="spellEnd"/>
            <w:r w:rsidRPr="009D3460">
              <w:rPr>
                <w:sz w:val="18"/>
                <w:szCs w:val="18"/>
              </w:rPr>
              <w:t xml:space="preserve">, Konstantin </w:t>
            </w:r>
            <w:proofErr w:type="spellStart"/>
            <w:r w:rsidRPr="009D3460">
              <w:rPr>
                <w:sz w:val="18"/>
                <w:szCs w:val="18"/>
              </w:rPr>
              <w:t>Krasovsky</w:t>
            </w:r>
            <w:proofErr w:type="spellEnd"/>
            <w:r w:rsidRPr="009D3460">
              <w:rPr>
                <w:sz w:val="18"/>
                <w:szCs w:val="18"/>
              </w:rPr>
              <w:t xml:space="preserve"> (</w:t>
            </w:r>
            <w:proofErr w:type="spellStart"/>
            <w:r w:rsidRPr="009D3460">
              <w:rPr>
                <w:sz w:val="18"/>
                <w:szCs w:val="18"/>
              </w:rPr>
              <w:t>MoH</w:t>
            </w:r>
            <w:proofErr w:type="spellEnd"/>
            <w:r w:rsidRPr="009D3460">
              <w:rPr>
                <w:sz w:val="18"/>
                <w:szCs w:val="18"/>
              </w:rPr>
              <w:t xml:space="preserve">), Natalia </w:t>
            </w:r>
            <w:proofErr w:type="spellStart"/>
            <w:r w:rsidRPr="009D3460">
              <w:rPr>
                <w:sz w:val="18"/>
                <w:szCs w:val="18"/>
              </w:rPr>
              <w:t>Kharchenko</w:t>
            </w:r>
            <w:proofErr w:type="spellEnd"/>
            <w:r w:rsidRPr="009D3460">
              <w:rPr>
                <w:sz w:val="18"/>
                <w:szCs w:val="18"/>
              </w:rPr>
              <w:t xml:space="preserve">, </w:t>
            </w:r>
            <w:proofErr w:type="spellStart"/>
            <w:r w:rsidRPr="009D3460">
              <w:rPr>
                <w:sz w:val="18"/>
                <w:szCs w:val="18"/>
              </w:rPr>
              <w:t>Volodymyr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Paniotto</w:t>
            </w:r>
            <w:proofErr w:type="spellEnd"/>
            <w:r w:rsidRPr="009D3460">
              <w:rPr>
                <w:sz w:val="18"/>
                <w:szCs w:val="18"/>
              </w:rPr>
              <w:t xml:space="preserve"> (KIIS), Tatiana </w:t>
            </w:r>
            <w:proofErr w:type="spellStart"/>
            <w:r w:rsidRPr="009D3460">
              <w:rPr>
                <w:sz w:val="18"/>
                <w:szCs w:val="18"/>
              </w:rPr>
              <w:t>Andreeva</w:t>
            </w:r>
            <w:proofErr w:type="spellEnd"/>
            <w:r w:rsidRPr="009D3460">
              <w:rPr>
                <w:sz w:val="18"/>
                <w:szCs w:val="18"/>
              </w:rPr>
              <w:t xml:space="preserve"> (SPH)</w:t>
            </w:r>
          </w:p>
          <w:p w:rsidR="00491DB3" w:rsidRPr="009D3460" w:rsidRDefault="00491DB3" w:rsidP="005301F4">
            <w:pPr>
              <w:rPr>
                <w:sz w:val="18"/>
                <w:szCs w:val="18"/>
              </w:rPr>
            </w:pPr>
          </w:p>
        </w:tc>
      </w:tr>
      <w:tr w:rsidR="00491DB3" w:rsidRPr="00F9126E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Uruguay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Ministry of Health (</w:t>
            </w:r>
            <w:proofErr w:type="spellStart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MoH</w:t>
            </w:r>
            <w:proofErr w:type="spellEnd"/>
            <w:r w:rsidRPr="009D3460">
              <w:rPr>
                <w:rFonts w:ascii="Times New Roman" w:hAnsi="Times New Roman" w:cs="Times New Roman"/>
                <w:sz w:val="18"/>
                <w:szCs w:val="18"/>
              </w:rPr>
              <w:t>), National Statistics Institute (INE)</w:t>
            </w:r>
          </w:p>
        </w:tc>
        <w:tc>
          <w:tcPr>
            <w:tcW w:w="4410" w:type="dxa"/>
          </w:tcPr>
          <w:p w:rsidR="00491DB3" w:rsidRPr="00F9126E" w:rsidRDefault="00491DB3" w:rsidP="005301F4">
            <w:pPr>
              <w:rPr>
                <w:sz w:val="18"/>
                <w:szCs w:val="18"/>
                <w:lang w:val="es-PA"/>
              </w:rPr>
            </w:pPr>
            <w:r w:rsidRPr="00F9126E">
              <w:rPr>
                <w:sz w:val="18"/>
                <w:szCs w:val="18"/>
                <w:lang w:val="es-PA"/>
              </w:rPr>
              <w:t>Winston Abascal, Ana Lorenzo (</w:t>
            </w:r>
            <w:proofErr w:type="spellStart"/>
            <w:r w:rsidRPr="00F9126E">
              <w:rPr>
                <w:sz w:val="18"/>
                <w:szCs w:val="18"/>
                <w:lang w:val="es-PA"/>
              </w:rPr>
              <w:t>MoH</w:t>
            </w:r>
            <w:proofErr w:type="spellEnd"/>
            <w:r w:rsidRPr="00F9126E">
              <w:rPr>
                <w:sz w:val="18"/>
                <w:szCs w:val="18"/>
                <w:lang w:val="es-PA"/>
              </w:rPr>
              <w:t>), Franco González Mora (INE)</w:t>
            </w:r>
          </w:p>
          <w:p w:rsidR="00491DB3" w:rsidRPr="00F9126E" w:rsidRDefault="00491DB3" w:rsidP="005301F4">
            <w:pPr>
              <w:rPr>
                <w:sz w:val="18"/>
                <w:szCs w:val="18"/>
                <w:lang w:val="es-PA"/>
              </w:rPr>
            </w:pPr>
          </w:p>
        </w:tc>
      </w:tr>
      <w:tr w:rsidR="00491DB3" w:rsidRPr="009D3460" w:rsidTr="005301F4">
        <w:tc>
          <w:tcPr>
            <w:tcW w:w="1458" w:type="dxa"/>
          </w:tcPr>
          <w:p w:rsidR="00491DB3" w:rsidRPr="009D3460" w:rsidRDefault="00491DB3" w:rsidP="005301F4">
            <w:pPr>
              <w:rPr>
                <w:b/>
                <w:sz w:val="17"/>
                <w:szCs w:val="17"/>
              </w:rPr>
            </w:pPr>
            <w:r w:rsidRPr="009D3460">
              <w:rPr>
                <w:b/>
                <w:sz w:val="17"/>
                <w:szCs w:val="17"/>
              </w:rPr>
              <w:t>Viet Nam</w:t>
            </w:r>
          </w:p>
        </w:tc>
        <w:tc>
          <w:tcPr>
            <w:tcW w:w="4752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r w:rsidRPr="009D3460">
              <w:rPr>
                <w:sz w:val="18"/>
                <w:szCs w:val="18"/>
              </w:rPr>
              <w:t>Ministry of Health (</w:t>
            </w:r>
            <w:proofErr w:type="spellStart"/>
            <w:r w:rsidRPr="009D3460">
              <w:rPr>
                <w:sz w:val="18"/>
                <w:szCs w:val="18"/>
              </w:rPr>
              <w:t>MoH</w:t>
            </w:r>
            <w:proofErr w:type="spellEnd"/>
            <w:r w:rsidRPr="009D3460">
              <w:rPr>
                <w:sz w:val="18"/>
                <w:szCs w:val="18"/>
              </w:rPr>
              <w:t>), Vietnam Standing Office on Smoking and Health (VINACOSH), General Statistics Office (GSO), Hanoi Medical University (HMU)</w:t>
            </w:r>
          </w:p>
        </w:tc>
        <w:tc>
          <w:tcPr>
            <w:tcW w:w="4410" w:type="dxa"/>
          </w:tcPr>
          <w:p w:rsidR="00491DB3" w:rsidRPr="009D3460" w:rsidRDefault="00491DB3" w:rsidP="005301F4">
            <w:pPr>
              <w:rPr>
                <w:sz w:val="18"/>
                <w:szCs w:val="18"/>
              </w:rPr>
            </w:pPr>
            <w:proofErr w:type="spellStart"/>
            <w:r w:rsidRPr="009D3460">
              <w:rPr>
                <w:sz w:val="18"/>
                <w:szCs w:val="18"/>
              </w:rPr>
              <w:t>Phan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Thi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Hai</w:t>
            </w:r>
            <w:proofErr w:type="spellEnd"/>
            <w:r w:rsidRPr="009D3460">
              <w:rPr>
                <w:sz w:val="18"/>
                <w:szCs w:val="18"/>
              </w:rPr>
              <w:t xml:space="preserve"> (</w:t>
            </w:r>
            <w:proofErr w:type="spellStart"/>
            <w:r w:rsidRPr="009D3460">
              <w:rPr>
                <w:sz w:val="18"/>
                <w:szCs w:val="18"/>
              </w:rPr>
              <w:t>MoH</w:t>
            </w:r>
            <w:proofErr w:type="spellEnd"/>
            <w:r w:rsidRPr="009D3460">
              <w:rPr>
                <w:sz w:val="18"/>
                <w:szCs w:val="18"/>
              </w:rPr>
              <w:t xml:space="preserve">), Nguyen The </w:t>
            </w:r>
            <w:proofErr w:type="spellStart"/>
            <w:r w:rsidRPr="009D3460">
              <w:rPr>
                <w:sz w:val="18"/>
                <w:szCs w:val="18"/>
              </w:rPr>
              <w:t>Quan</w:t>
            </w:r>
            <w:proofErr w:type="spellEnd"/>
            <w:r w:rsidRPr="009D3460">
              <w:rPr>
                <w:sz w:val="18"/>
                <w:szCs w:val="18"/>
              </w:rPr>
              <w:t xml:space="preserve"> (GSO), Hoang Van Minh (HMU), Kim </w:t>
            </w:r>
            <w:proofErr w:type="spellStart"/>
            <w:r w:rsidRPr="009D3460">
              <w:rPr>
                <w:sz w:val="18"/>
                <w:szCs w:val="18"/>
              </w:rPr>
              <w:t>Bao</w:t>
            </w:r>
            <w:proofErr w:type="spellEnd"/>
            <w:r w:rsidRPr="009D3460">
              <w:rPr>
                <w:sz w:val="18"/>
                <w:szCs w:val="18"/>
              </w:rPr>
              <w:t xml:space="preserve"> </w:t>
            </w:r>
            <w:proofErr w:type="spellStart"/>
            <w:r w:rsidRPr="009D3460">
              <w:rPr>
                <w:sz w:val="18"/>
                <w:szCs w:val="18"/>
              </w:rPr>
              <w:t>Giang</w:t>
            </w:r>
            <w:proofErr w:type="spellEnd"/>
            <w:r w:rsidRPr="009D3460">
              <w:rPr>
                <w:sz w:val="18"/>
                <w:szCs w:val="18"/>
              </w:rPr>
              <w:t xml:space="preserve"> (HMU)</w:t>
            </w:r>
          </w:p>
        </w:tc>
      </w:tr>
    </w:tbl>
    <w:p w:rsidR="00491DB3" w:rsidRPr="009D3460" w:rsidRDefault="00491DB3" w:rsidP="00491DB3">
      <w:pPr>
        <w:rPr>
          <w:sz w:val="17"/>
          <w:szCs w:val="17"/>
        </w:rPr>
      </w:pPr>
    </w:p>
    <w:p w:rsidR="00491DB3" w:rsidRPr="009D3460" w:rsidRDefault="00491DB3" w:rsidP="00491DB3">
      <w:pPr>
        <w:rPr>
          <w:sz w:val="17"/>
          <w:szCs w:val="17"/>
        </w:rPr>
      </w:pP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</w:rPr>
      </w:pP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</w:rPr>
      </w:pPr>
      <w:r w:rsidRPr="009D3460">
        <w:rPr>
          <w:rFonts w:ascii="Times New Roman" w:hAnsi="Times New Roman" w:cs="Times New Roman"/>
        </w:rPr>
        <w:t>International Agencies and Collaborators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9D3460">
        <w:rPr>
          <w:rFonts w:ascii="Times New Roman" w:hAnsi="Times New Roman" w:cs="Times New Roman"/>
          <w:b/>
          <w:sz w:val="20"/>
          <w:szCs w:val="20"/>
        </w:rPr>
        <w:t>World Health Organization (WHO) ─ Tobacco Free Initiative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sz w:val="18"/>
          <w:szCs w:val="18"/>
          <w:u w:val="single"/>
        </w:rPr>
        <w:t>Headquarters:</w:t>
      </w:r>
      <w:r w:rsidRPr="009D3460">
        <w:rPr>
          <w:rFonts w:ascii="Times New Roman" w:hAnsi="Times New Roman" w:cs="Times New Roman"/>
          <w:sz w:val="18"/>
          <w:szCs w:val="18"/>
        </w:rPr>
        <w:t xml:space="preserve">  Douglas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Bettcher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Lubna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Bhatti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Edouard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Tursan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d’Espaignet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Sameer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Pujari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Ayda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Yurekli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1DB3" w:rsidRPr="00F9126E" w:rsidRDefault="00491DB3" w:rsidP="00491DB3">
      <w:pPr>
        <w:pStyle w:val="Default"/>
        <w:rPr>
          <w:rFonts w:ascii="Times New Roman" w:hAnsi="Times New Roman" w:cs="Times New Roman"/>
          <w:sz w:val="18"/>
          <w:szCs w:val="18"/>
          <w:u w:val="single"/>
          <w:lang w:val="es-PA"/>
        </w:rPr>
      </w:pPr>
      <w:r w:rsidRPr="00F9126E">
        <w:rPr>
          <w:rFonts w:ascii="Times New Roman" w:hAnsi="Times New Roman" w:cs="Times New Roman"/>
          <w:sz w:val="18"/>
          <w:szCs w:val="18"/>
          <w:u w:val="single"/>
          <w:lang w:val="es-PA"/>
        </w:rPr>
        <w:t>AFRO</w:t>
      </w:r>
      <w:proofErr w:type="gramStart"/>
      <w:r w:rsidRPr="00F9126E">
        <w:rPr>
          <w:rFonts w:ascii="Times New Roman" w:hAnsi="Times New Roman" w:cs="Times New Roman"/>
          <w:sz w:val="18"/>
          <w:szCs w:val="18"/>
          <w:u w:val="single"/>
          <w:lang w:val="es-PA"/>
        </w:rPr>
        <w:t>:</w:t>
      </w:r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  A.E</w:t>
      </w:r>
      <w:proofErr w:type="gram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.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Ogwell</w:t>
      </w:r>
      <w:proofErr w:type="spell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Ouma</w:t>
      </w:r>
      <w:proofErr w:type="spell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,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Nivo</w:t>
      </w:r>
      <w:proofErr w:type="spell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Ramanandraibe</w:t>
      </w:r>
      <w:proofErr w:type="spellEnd"/>
    </w:p>
    <w:p w:rsidR="00491DB3" w:rsidRPr="00F9126E" w:rsidRDefault="00491DB3" w:rsidP="00491DB3">
      <w:pPr>
        <w:pStyle w:val="Default"/>
        <w:rPr>
          <w:rFonts w:ascii="Times New Roman" w:hAnsi="Times New Roman" w:cs="Times New Roman"/>
          <w:sz w:val="18"/>
          <w:szCs w:val="18"/>
          <w:lang w:val="es-PA"/>
        </w:rPr>
      </w:pPr>
      <w:r w:rsidRPr="00F9126E">
        <w:rPr>
          <w:rFonts w:ascii="Times New Roman" w:hAnsi="Times New Roman" w:cs="Times New Roman"/>
          <w:i/>
          <w:sz w:val="18"/>
          <w:szCs w:val="18"/>
          <w:u w:val="single"/>
          <w:lang w:val="es-PA"/>
        </w:rPr>
        <w:t>AMRO-PAHO</w:t>
      </w:r>
      <w:proofErr w:type="gramStart"/>
      <w:r w:rsidRPr="00F9126E">
        <w:rPr>
          <w:rFonts w:ascii="Times New Roman" w:hAnsi="Times New Roman" w:cs="Times New Roman"/>
          <w:i/>
          <w:sz w:val="18"/>
          <w:szCs w:val="18"/>
          <w:u w:val="single"/>
          <w:lang w:val="es-PA"/>
        </w:rPr>
        <w:t>:</w:t>
      </w:r>
      <w:r w:rsidRPr="00F9126E">
        <w:rPr>
          <w:rFonts w:ascii="Times New Roman" w:hAnsi="Times New Roman" w:cs="Times New Roman"/>
          <w:i/>
          <w:sz w:val="18"/>
          <w:szCs w:val="18"/>
          <w:lang w:val="es-PA"/>
        </w:rPr>
        <w:t xml:space="preserve">  </w:t>
      </w:r>
      <w:r w:rsidRPr="00F9126E">
        <w:rPr>
          <w:rFonts w:ascii="Times New Roman" w:hAnsi="Times New Roman" w:cs="Times New Roman"/>
          <w:sz w:val="18"/>
          <w:szCs w:val="18"/>
          <w:lang w:val="es-PA"/>
        </w:rPr>
        <w:t>Adriana</w:t>
      </w:r>
      <w:proofErr w:type="gram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 Blanco, Roberta de Betania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Caixeta</w:t>
      </w:r>
      <w:proofErr w:type="spell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 </w:t>
      </w:r>
    </w:p>
    <w:p w:rsidR="00491DB3" w:rsidRPr="00F9126E" w:rsidRDefault="00491DB3" w:rsidP="00491DB3">
      <w:pPr>
        <w:pStyle w:val="Default"/>
        <w:rPr>
          <w:rFonts w:ascii="Times New Roman" w:hAnsi="Times New Roman" w:cs="Times New Roman"/>
          <w:sz w:val="18"/>
          <w:szCs w:val="18"/>
          <w:lang w:val="es-PA"/>
        </w:rPr>
      </w:pPr>
      <w:r w:rsidRPr="00F9126E">
        <w:rPr>
          <w:rFonts w:ascii="Times New Roman" w:hAnsi="Times New Roman" w:cs="Times New Roman"/>
          <w:i/>
          <w:iCs/>
          <w:sz w:val="18"/>
          <w:szCs w:val="18"/>
          <w:lang w:val="es-PA"/>
        </w:rPr>
        <w:t xml:space="preserve">Country </w:t>
      </w:r>
      <w:proofErr w:type="spellStart"/>
      <w:r w:rsidRPr="00F9126E">
        <w:rPr>
          <w:rFonts w:ascii="Times New Roman" w:hAnsi="Times New Roman" w:cs="Times New Roman"/>
          <w:i/>
          <w:iCs/>
          <w:sz w:val="18"/>
          <w:szCs w:val="18"/>
          <w:lang w:val="es-PA"/>
        </w:rPr>
        <w:t>Offices</w:t>
      </w:r>
      <w:proofErr w:type="spellEnd"/>
      <w:proofErr w:type="gramStart"/>
      <w:r w:rsidRPr="00F9126E">
        <w:rPr>
          <w:rFonts w:ascii="Times New Roman" w:hAnsi="Times New Roman" w:cs="Times New Roman"/>
          <w:i/>
          <w:iCs/>
          <w:sz w:val="18"/>
          <w:szCs w:val="18"/>
          <w:lang w:val="es-PA"/>
        </w:rPr>
        <w:t xml:space="preserve">:  </w:t>
      </w:r>
      <w:proofErr w:type="spellStart"/>
      <w:r w:rsidRPr="00F9126E">
        <w:rPr>
          <w:rFonts w:ascii="Times New Roman" w:hAnsi="Times New Roman" w:cs="Times New Roman"/>
          <w:i/>
          <w:iCs/>
          <w:sz w:val="18"/>
          <w:szCs w:val="18"/>
          <w:lang w:val="es-PA"/>
        </w:rPr>
        <w:t>Brazil</w:t>
      </w:r>
      <w:proofErr w:type="spellEnd"/>
      <w:proofErr w:type="gramEnd"/>
      <w:r w:rsidRPr="00F9126E">
        <w:rPr>
          <w:rFonts w:ascii="Times New Roman" w:hAnsi="Times New Roman" w:cs="Times New Roman"/>
          <w:i/>
          <w:iCs/>
          <w:sz w:val="18"/>
          <w:szCs w:val="18"/>
          <w:lang w:val="es-PA"/>
        </w:rPr>
        <w:t xml:space="preserve">: </w:t>
      </w:r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Enrique Gil; </w:t>
      </w:r>
      <w:proofErr w:type="spellStart"/>
      <w:r w:rsidRPr="00F9126E">
        <w:rPr>
          <w:rFonts w:ascii="Times New Roman" w:hAnsi="Times New Roman" w:cs="Times New Roman"/>
          <w:i/>
          <w:iCs/>
          <w:sz w:val="18"/>
          <w:szCs w:val="18"/>
          <w:lang w:val="es-PA"/>
        </w:rPr>
        <w:t>Mexico</w:t>
      </w:r>
      <w:proofErr w:type="spellEnd"/>
      <w:r w:rsidRPr="00F9126E">
        <w:rPr>
          <w:rFonts w:ascii="Times New Roman" w:hAnsi="Times New Roman" w:cs="Times New Roman"/>
          <w:i/>
          <w:iCs/>
          <w:sz w:val="18"/>
          <w:szCs w:val="18"/>
          <w:lang w:val="es-PA"/>
        </w:rPr>
        <w:t xml:space="preserve">: </w:t>
      </w:r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Carlos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Gamez</w:t>
      </w:r>
      <w:proofErr w:type="spell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; </w:t>
      </w:r>
      <w:r w:rsidRPr="00F9126E">
        <w:rPr>
          <w:rFonts w:ascii="Times New Roman" w:hAnsi="Times New Roman" w:cs="Times New Roman"/>
          <w:i/>
          <w:iCs/>
          <w:sz w:val="18"/>
          <w:szCs w:val="18"/>
          <w:lang w:val="es-PA"/>
        </w:rPr>
        <w:t xml:space="preserve">Uruguay: </w:t>
      </w:r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Julio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Vignolo</w:t>
      </w:r>
      <w:proofErr w:type="spell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 </w:t>
      </w:r>
    </w:p>
    <w:p w:rsidR="00491DB3" w:rsidRPr="00F9126E" w:rsidRDefault="00491DB3" w:rsidP="00491DB3">
      <w:pPr>
        <w:pStyle w:val="Default"/>
        <w:rPr>
          <w:rFonts w:ascii="Times New Roman" w:hAnsi="Times New Roman" w:cs="Times New Roman"/>
          <w:sz w:val="18"/>
          <w:szCs w:val="18"/>
          <w:lang w:val="es-PA"/>
        </w:rPr>
      </w:pPr>
      <w:r w:rsidRPr="00F9126E">
        <w:rPr>
          <w:rFonts w:ascii="Times New Roman" w:hAnsi="Times New Roman" w:cs="Times New Roman"/>
          <w:sz w:val="18"/>
          <w:szCs w:val="18"/>
          <w:u w:val="single"/>
          <w:lang w:val="es-PA"/>
        </w:rPr>
        <w:t>EMRO</w:t>
      </w:r>
      <w:proofErr w:type="gramStart"/>
      <w:r w:rsidRPr="00F9126E">
        <w:rPr>
          <w:rFonts w:ascii="Times New Roman" w:hAnsi="Times New Roman" w:cs="Times New Roman"/>
          <w:sz w:val="18"/>
          <w:szCs w:val="18"/>
          <w:u w:val="single"/>
          <w:lang w:val="es-PA"/>
        </w:rPr>
        <w:t>:</w:t>
      </w:r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 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Fatimah</w:t>
      </w:r>
      <w:proofErr w:type="spellEnd"/>
      <w:proofErr w:type="gram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 El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Awa</w:t>
      </w:r>
      <w:proofErr w:type="spell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,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Heba</w:t>
      </w:r>
      <w:proofErr w:type="spellEnd"/>
      <w:r w:rsidRPr="00F9126E">
        <w:rPr>
          <w:rFonts w:ascii="Times New Roman" w:hAnsi="Times New Roman" w:cs="Times New Roman"/>
          <w:sz w:val="18"/>
          <w:szCs w:val="18"/>
          <w:lang w:val="es-PA"/>
        </w:rPr>
        <w:t xml:space="preserve"> </w:t>
      </w:r>
      <w:proofErr w:type="spellStart"/>
      <w:r w:rsidRPr="00F9126E">
        <w:rPr>
          <w:rFonts w:ascii="Times New Roman" w:hAnsi="Times New Roman" w:cs="Times New Roman"/>
          <w:sz w:val="18"/>
          <w:szCs w:val="18"/>
          <w:lang w:val="es-PA"/>
        </w:rPr>
        <w:t>Fouad</w:t>
      </w:r>
      <w:proofErr w:type="spellEnd"/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i/>
          <w:iCs/>
          <w:sz w:val="18"/>
          <w:szCs w:val="18"/>
        </w:rPr>
        <w:t xml:space="preserve">Country Office - Egypt: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Randa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Abou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El Naga 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sz w:val="18"/>
          <w:szCs w:val="18"/>
          <w:u w:val="single"/>
        </w:rPr>
        <w:t>EURO:</w:t>
      </w:r>
      <w:r w:rsidRPr="009D3460">
        <w:rPr>
          <w:rFonts w:ascii="Times New Roman" w:hAnsi="Times New Roman" w:cs="Times New Roman"/>
          <w:sz w:val="18"/>
          <w:szCs w:val="18"/>
        </w:rPr>
        <w:t xml:space="preserve">  Kristina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Mauer-Stender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Rula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Khoury</w:t>
      </w:r>
      <w:proofErr w:type="spellEnd"/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i/>
          <w:iCs/>
          <w:sz w:val="18"/>
          <w:szCs w:val="18"/>
        </w:rPr>
        <w:t xml:space="preserve">Country Offices:  Poland: </w:t>
      </w:r>
      <w:r w:rsidRPr="009D3460">
        <w:rPr>
          <w:rFonts w:ascii="Times New Roman" w:hAnsi="Times New Roman" w:cs="Times New Roman"/>
          <w:sz w:val="18"/>
          <w:szCs w:val="18"/>
        </w:rPr>
        <w:t xml:space="preserve">Anna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Koziel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; </w:t>
      </w:r>
      <w:r w:rsidRPr="009D3460">
        <w:rPr>
          <w:rFonts w:ascii="Times New Roman" w:hAnsi="Times New Roman" w:cs="Times New Roman"/>
          <w:i/>
          <w:iCs/>
          <w:sz w:val="18"/>
          <w:szCs w:val="18"/>
        </w:rPr>
        <w:t xml:space="preserve">Russian Federation: </w:t>
      </w:r>
      <w:r w:rsidRPr="009D3460">
        <w:rPr>
          <w:rFonts w:ascii="Times New Roman" w:hAnsi="Times New Roman" w:cs="Times New Roman"/>
          <w:sz w:val="18"/>
          <w:szCs w:val="18"/>
        </w:rPr>
        <w:t xml:space="preserve">Luigi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Migliorini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Oleg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Storozhenko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; </w:t>
      </w:r>
      <w:r w:rsidRPr="009D3460">
        <w:rPr>
          <w:rFonts w:ascii="Times New Roman" w:hAnsi="Times New Roman" w:cs="Times New Roman"/>
          <w:i/>
          <w:iCs/>
          <w:sz w:val="18"/>
          <w:szCs w:val="18"/>
        </w:rPr>
        <w:t xml:space="preserve">Turkey: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Toker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Ergüder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i/>
          <w:iCs/>
          <w:sz w:val="18"/>
          <w:szCs w:val="18"/>
        </w:rPr>
        <w:t xml:space="preserve">  Ukraine: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Nataliya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Korol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sz w:val="18"/>
          <w:szCs w:val="18"/>
          <w:u w:val="single"/>
        </w:rPr>
        <w:t>SEARO:</w:t>
      </w:r>
      <w:r w:rsidRPr="009D3460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Dhirendra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Sinha</w:t>
      </w:r>
      <w:proofErr w:type="spellEnd"/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i/>
          <w:iCs/>
          <w:sz w:val="18"/>
          <w:szCs w:val="18"/>
        </w:rPr>
        <w:t>Country Offices:  Bangladesh</w:t>
      </w:r>
      <w:r w:rsidRPr="009D346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Sohel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Choudhury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M.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Mostafa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Zaman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; </w:t>
      </w:r>
      <w:r w:rsidRPr="009D3460">
        <w:rPr>
          <w:rFonts w:ascii="Times New Roman" w:hAnsi="Times New Roman" w:cs="Times New Roman"/>
          <w:i/>
          <w:iCs/>
          <w:sz w:val="18"/>
          <w:szCs w:val="18"/>
        </w:rPr>
        <w:t xml:space="preserve">India: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Vineet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Munish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Gill; </w:t>
      </w:r>
      <w:r w:rsidRPr="009D3460">
        <w:rPr>
          <w:rFonts w:ascii="Times New Roman" w:hAnsi="Times New Roman" w:cs="Times New Roman"/>
          <w:i/>
          <w:iCs/>
          <w:sz w:val="18"/>
          <w:szCs w:val="18"/>
        </w:rPr>
        <w:t xml:space="preserve">Thailand: </w:t>
      </w:r>
      <w:r w:rsidRPr="009D3460">
        <w:rPr>
          <w:rFonts w:ascii="Times New Roman" w:hAnsi="Times New Roman" w:cs="Times New Roman"/>
          <w:sz w:val="18"/>
          <w:szCs w:val="18"/>
        </w:rPr>
        <w:t xml:space="preserve">Chai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Kritiyapichatkul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sz w:val="18"/>
          <w:szCs w:val="18"/>
          <w:u w:val="single"/>
        </w:rPr>
        <w:t>WPRO:</w:t>
      </w:r>
      <w:r w:rsidRPr="009D3460">
        <w:rPr>
          <w:rFonts w:ascii="Times New Roman" w:hAnsi="Times New Roman" w:cs="Times New Roman"/>
          <w:sz w:val="18"/>
          <w:szCs w:val="18"/>
        </w:rPr>
        <w:t xml:space="preserve">  Susan Mercado, James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Rarick</w:t>
      </w:r>
      <w:proofErr w:type="spellEnd"/>
    </w:p>
    <w:p w:rsidR="00491DB3" w:rsidRPr="009D3460" w:rsidRDefault="00491DB3" w:rsidP="00491DB3">
      <w:pPr>
        <w:rPr>
          <w:sz w:val="18"/>
          <w:szCs w:val="18"/>
        </w:rPr>
      </w:pPr>
      <w:r w:rsidRPr="009D3460">
        <w:rPr>
          <w:i/>
          <w:iCs/>
          <w:sz w:val="18"/>
          <w:szCs w:val="18"/>
        </w:rPr>
        <w:t xml:space="preserve">Country Offices:  China: </w:t>
      </w:r>
      <w:r w:rsidRPr="009D3460">
        <w:rPr>
          <w:sz w:val="18"/>
          <w:szCs w:val="18"/>
        </w:rPr>
        <w:t xml:space="preserve">Sarah England; </w:t>
      </w:r>
      <w:r w:rsidRPr="009D3460">
        <w:rPr>
          <w:i/>
          <w:iCs/>
          <w:sz w:val="18"/>
          <w:szCs w:val="18"/>
        </w:rPr>
        <w:t>Philippines</w:t>
      </w:r>
      <w:r w:rsidRPr="009D3460">
        <w:rPr>
          <w:sz w:val="18"/>
          <w:szCs w:val="18"/>
        </w:rPr>
        <w:t>: Marina Miguel-</w:t>
      </w:r>
      <w:proofErr w:type="spellStart"/>
      <w:r w:rsidRPr="009D3460">
        <w:rPr>
          <w:sz w:val="18"/>
          <w:szCs w:val="18"/>
        </w:rPr>
        <w:t>Baquilod</w:t>
      </w:r>
      <w:proofErr w:type="spellEnd"/>
      <w:r w:rsidRPr="009D3460">
        <w:rPr>
          <w:sz w:val="18"/>
          <w:szCs w:val="18"/>
        </w:rPr>
        <w:t xml:space="preserve">; </w:t>
      </w:r>
      <w:r w:rsidRPr="009D3460">
        <w:rPr>
          <w:i/>
          <w:iCs/>
          <w:sz w:val="18"/>
          <w:szCs w:val="18"/>
        </w:rPr>
        <w:t>Vietnam</w:t>
      </w:r>
      <w:r w:rsidRPr="009D3460">
        <w:rPr>
          <w:sz w:val="18"/>
          <w:szCs w:val="18"/>
        </w:rPr>
        <w:t xml:space="preserve">: Pham </w:t>
      </w:r>
      <w:proofErr w:type="spellStart"/>
      <w:r w:rsidRPr="009D3460">
        <w:rPr>
          <w:sz w:val="18"/>
          <w:szCs w:val="18"/>
        </w:rPr>
        <w:t>Thi</w:t>
      </w:r>
      <w:proofErr w:type="spellEnd"/>
      <w:r w:rsidRPr="009D3460">
        <w:rPr>
          <w:sz w:val="18"/>
          <w:szCs w:val="18"/>
        </w:rPr>
        <w:t xml:space="preserve"> </w:t>
      </w:r>
      <w:proofErr w:type="spellStart"/>
      <w:r w:rsidRPr="009D3460">
        <w:rPr>
          <w:sz w:val="18"/>
          <w:szCs w:val="18"/>
        </w:rPr>
        <w:t>Quynh</w:t>
      </w:r>
      <w:proofErr w:type="spellEnd"/>
      <w:r w:rsidRPr="009D3460">
        <w:rPr>
          <w:sz w:val="18"/>
          <w:szCs w:val="18"/>
        </w:rPr>
        <w:t xml:space="preserve"> </w:t>
      </w:r>
      <w:proofErr w:type="spellStart"/>
      <w:r w:rsidRPr="009D3460">
        <w:rPr>
          <w:sz w:val="18"/>
          <w:szCs w:val="18"/>
        </w:rPr>
        <w:t>Nga</w:t>
      </w:r>
      <w:proofErr w:type="spellEnd"/>
      <w:r w:rsidRPr="009D3460">
        <w:rPr>
          <w:sz w:val="18"/>
          <w:szCs w:val="18"/>
        </w:rPr>
        <w:t xml:space="preserve">, Pham </w:t>
      </w:r>
      <w:proofErr w:type="spellStart"/>
      <w:r w:rsidRPr="009D3460">
        <w:rPr>
          <w:sz w:val="18"/>
          <w:szCs w:val="18"/>
        </w:rPr>
        <w:t>Huyen</w:t>
      </w:r>
      <w:proofErr w:type="spellEnd"/>
      <w:r w:rsidRPr="009D3460">
        <w:rPr>
          <w:sz w:val="18"/>
          <w:szCs w:val="18"/>
        </w:rPr>
        <w:t xml:space="preserve"> </w:t>
      </w:r>
      <w:proofErr w:type="spellStart"/>
      <w:r w:rsidRPr="009D3460">
        <w:rPr>
          <w:sz w:val="18"/>
          <w:szCs w:val="18"/>
        </w:rPr>
        <w:t>Khanh</w:t>
      </w:r>
      <w:proofErr w:type="spellEnd"/>
    </w:p>
    <w:p w:rsidR="00491DB3" w:rsidRPr="009D3460" w:rsidRDefault="00491DB3" w:rsidP="00491DB3">
      <w:pPr>
        <w:rPr>
          <w:sz w:val="20"/>
          <w:szCs w:val="20"/>
        </w:rPr>
      </w:pPr>
      <w:r w:rsidRPr="009D3460">
        <w:rPr>
          <w:b/>
          <w:color w:val="000000"/>
          <w:sz w:val="20"/>
          <w:szCs w:val="20"/>
        </w:rPr>
        <w:t>U.S. Centers for Disease Control and Prevention (CDC</w:t>
      </w:r>
      <w:proofErr w:type="gramStart"/>
      <w:r w:rsidRPr="009D3460">
        <w:rPr>
          <w:b/>
          <w:color w:val="000000"/>
          <w:sz w:val="20"/>
          <w:szCs w:val="20"/>
        </w:rPr>
        <w:t>)</w:t>
      </w:r>
      <w:proofErr w:type="gramEnd"/>
      <w:r w:rsidRPr="009D3460">
        <w:rPr>
          <w:b/>
          <w:color w:val="000000"/>
          <w:sz w:val="20"/>
          <w:szCs w:val="20"/>
        </w:rPr>
        <w:br/>
      </w:r>
      <w:r w:rsidRPr="009D3460">
        <w:rPr>
          <w:color w:val="000000"/>
          <w:sz w:val="20"/>
          <w:szCs w:val="20"/>
        </w:rPr>
        <w:t>Global Tobacco Control Branch, Office on Smoking and Health (OSH)</w:t>
      </w:r>
    </w:p>
    <w:p w:rsidR="00491DB3" w:rsidRPr="009D3460" w:rsidRDefault="00491DB3" w:rsidP="00491DB3">
      <w:pPr>
        <w:rPr>
          <w:sz w:val="18"/>
          <w:szCs w:val="18"/>
        </w:rPr>
      </w:pPr>
      <w:r w:rsidRPr="009D3460">
        <w:rPr>
          <w:sz w:val="18"/>
          <w:szCs w:val="18"/>
        </w:rPr>
        <w:t xml:space="preserve">Linda Andes, Samira Asma (Branch Chief), Glenda </w:t>
      </w:r>
      <w:proofErr w:type="spellStart"/>
      <w:r w:rsidRPr="009D3460">
        <w:rPr>
          <w:sz w:val="18"/>
          <w:szCs w:val="18"/>
        </w:rPr>
        <w:t>Blutcher</w:t>
      </w:r>
      <w:proofErr w:type="spellEnd"/>
      <w:r w:rsidRPr="009D3460">
        <w:rPr>
          <w:sz w:val="18"/>
          <w:szCs w:val="18"/>
        </w:rPr>
        <w:t xml:space="preserve">-Nelson, </w:t>
      </w:r>
      <w:proofErr w:type="spellStart"/>
      <w:r w:rsidRPr="009D3460">
        <w:rPr>
          <w:sz w:val="18"/>
          <w:szCs w:val="18"/>
        </w:rPr>
        <w:t>Felicita</w:t>
      </w:r>
      <w:proofErr w:type="spellEnd"/>
      <w:r w:rsidRPr="009D3460">
        <w:rPr>
          <w:sz w:val="18"/>
          <w:szCs w:val="18"/>
        </w:rPr>
        <w:t xml:space="preserve"> David, Peter Edwards, Thomas R. </w:t>
      </w:r>
      <w:proofErr w:type="spellStart"/>
      <w:r w:rsidRPr="009D3460">
        <w:rPr>
          <w:sz w:val="18"/>
          <w:szCs w:val="18"/>
        </w:rPr>
        <w:t>Frieden</w:t>
      </w:r>
      <w:proofErr w:type="spellEnd"/>
      <w:r w:rsidRPr="009D3460">
        <w:rPr>
          <w:sz w:val="18"/>
          <w:szCs w:val="18"/>
        </w:rPr>
        <w:t xml:space="preserve"> (CDC Director), Jason Hsia, </w:t>
      </w:r>
      <w:proofErr w:type="spellStart"/>
      <w:r w:rsidRPr="009D3460">
        <w:rPr>
          <w:sz w:val="18"/>
          <w:szCs w:val="18"/>
        </w:rPr>
        <w:t>Deliana</w:t>
      </w:r>
      <w:proofErr w:type="spellEnd"/>
      <w:r w:rsidRPr="009D3460">
        <w:rPr>
          <w:sz w:val="18"/>
          <w:szCs w:val="18"/>
        </w:rPr>
        <w:t xml:space="preserve"> </w:t>
      </w:r>
      <w:proofErr w:type="spellStart"/>
      <w:r w:rsidRPr="009D3460">
        <w:rPr>
          <w:sz w:val="18"/>
          <w:szCs w:val="18"/>
        </w:rPr>
        <w:t>Kostova</w:t>
      </w:r>
      <w:proofErr w:type="spellEnd"/>
      <w:r w:rsidRPr="009D3460">
        <w:rPr>
          <w:sz w:val="18"/>
          <w:szCs w:val="18"/>
        </w:rPr>
        <w:t xml:space="preserve">, </w:t>
      </w:r>
      <w:proofErr w:type="spellStart"/>
      <w:r w:rsidRPr="009D3460">
        <w:rPr>
          <w:sz w:val="18"/>
          <w:szCs w:val="18"/>
        </w:rPr>
        <w:t>Ronney</w:t>
      </w:r>
      <w:proofErr w:type="spellEnd"/>
      <w:r w:rsidRPr="009D3460">
        <w:rPr>
          <w:sz w:val="18"/>
          <w:szCs w:val="18"/>
        </w:rPr>
        <w:t xml:space="preserve"> Lindsey, Charity “Nikki” Mayes, Timothy McAfee (OSH Director), Sara </w:t>
      </w:r>
      <w:proofErr w:type="spellStart"/>
      <w:r w:rsidRPr="009D3460">
        <w:rPr>
          <w:sz w:val="18"/>
          <w:szCs w:val="18"/>
        </w:rPr>
        <w:t>Mirza</w:t>
      </w:r>
      <w:proofErr w:type="spellEnd"/>
      <w:r w:rsidRPr="009D3460">
        <w:rPr>
          <w:sz w:val="18"/>
          <w:szCs w:val="18"/>
        </w:rPr>
        <w:t xml:space="preserve">, Jeremy Morton, Krishna Mohan Palipudi, Terry </w:t>
      </w:r>
      <w:proofErr w:type="spellStart"/>
      <w:r w:rsidRPr="009D3460">
        <w:rPr>
          <w:sz w:val="18"/>
          <w:szCs w:val="18"/>
        </w:rPr>
        <w:t>Pechacek</w:t>
      </w:r>
      <w:proofErr w:type="spellEnd"/>
      <w:r w:rsidRPr="009D3460">
        <w:rPr>
          <w:sz w:val="18"/>
          <w:szCs w:val="18"/>
        </w:rPr>
        <w:t xml:space="preserve">, Edward Rainey, Dana Shelton, Yang “Sophia” Song, </w:t>
      </w:r>
      <w:proofErr w:type="spellStart"/>
      <w:r w:rsidRPr="009D3460">
        <w:rPr>
          <w:sz w:val="18"/>
          <w:szCs w:val="18"/>
        </w:rPr>
        <w:t>Raydel</w:t>
      </w:r>
      <w:proofErr w:type="spellEnd"/>
      <w:r w:rsidRPr="009D3460">
        <w:rPr>
          <w:sz w:val="18"/>
          <w:szCs w:val="18"/>
        </w:rPr>
        <w:t xml:space="preserve"> Valdés Salgado, Brian Taitt, </w:t>
      </w:r>
      <w:proofErr w:type="spellStart"/>
      <w:r w:rsidRPr="009D3460">
        <w:rPr>
          <w:sz w:val="18"/>
          <w:szCs w:val="18"/>
        </w:rPr>
        <w:t>Luhua</w:t>
      </w:r>
      <w:proofErr w:type="spellEnd"/>
      <w:r w:rsidRPr="009D3460">
        <w:rPr>
          <w:sz w:val="18"/>
          <w:szCs w:val="18"/>
        </w:rPr>
        <w:t xml:space="preserve"> Zhao</w:t>
      </w:r>
    </w:p>
    <w:p w:rsidR="00491DB3" w:rsidRPr="009D3460" w:rsidRDefault="00491DB3" w:rsidP="00491DB3">
      <w:pPr>
        <w:rPr>
          <w:sz w:val="18"/>
          <w:szCs w:val="18"/>
        </w:rPr>
      </w:pPr>
    </w:p>
    <w:p w:rsidR="00491DB3" w:rsidRPr="009D3460" w:rsidRDefault="00491DB3" w:rsidP="00491DB3">
      <w:pPr>
        <w:rPr>
          <w:b/>
          <w:sz w:val="20"/>
          <w:szCs w:val="20"/>
        </w:rPr>
      </w:pPr>
      <w:r w:rsidRPr="009D3460">
        <w:rPr>
          <w:b/>
          <w:color w:val="000000"/>
          <w:sz w:val="20"/>
          <w:szCs w:val="20"/>
        </w:rPr>
        <w:t>CDC Foundation</w:t>
      </w:r>
    </w:p>
    <w:p w:rsidR="00491DB3" w:rsidRPr="009D3460" w:rsidRDefault="00491DB3" w:rsidP="00491DB3">
      <w:pPr>
        <w:rPr>
          <w:sz w:val="18"/>
          <w:szCs w:val="18"/>
        </w:rPr>
      </w:pPr>
      <w:r w:rsidRPr="009D3460">
        <w:rPr>
          <w:sz w:val="18"/>
          <w:szCs w:val="18"/>
        </w:rPr>
        <w:t xml:space="preserve">William Parra, Brandon Talley, Connie </w:t>
      </w:r>
      <w:proofErr w:type="spellStart"/>
      <w:r w:rsidRPr="009D3460">
        <w:rPr>
          <w:sz w:val="18"/>
          <w:szCs w:val="18"/>
        </w:rPr>
        <w:t>Granoff</w:t>
      </w:r>
      <w:proofErr w:type="spellEnd"/>
      <w:r w:rsidRPr="009D3460">
        <w:rPr>
          <w:sz w:val="18"/>
          <w:szCs w:val="18"/>
        </w:rPr>
        <w:t>, Michael Green</w:t>
      </w:r>
    </w:p>
    <w:p w:rsidR="00491DB3" w:rsidRPr="009D3460" w:rsidRDefault="00491DB3" w:rsidP="00491DB3">
      <w:pPr>
        <w:rPr>
          <w:sz w:val="18"/>
          <w:szCs w:val="18"/>
        </w:rPr>
      </w:pPr>
    </w:p>
    <w:p w:rsidR="00491DB3" w:rsidRPr="009D3460" w:rsidRDefault="00491DB3" w:rsidP="00491DB3">
      <w:pPr>
        <w:rPr>
          <w:b/>
          <w:sz w:val="20"/>
          <w:szCs w:val="20"/>
        </w:rPr>
      </w:pPr>
      <w:r w:rsidRPr="009D3460">
        <w:rPr>
          <w:b/>
          <w:color w:val="000000"/>
          <w:sz w:val="20"/>
          <w:szCs w:val="20"/>
        </w:rPr>
        <w:t>Johns Hopkins Bloomberg School of Public Health</w:t>
      </w:r>
    </w:p>
    <w:p w:rsidR="00491DB3" w:rsidRPr="009D3460" w:rsidRDefault="00491DB3" w:rsidP="00491DB3">
      <w:pPr>
        <w:rPr>
          <w:sz w:val="18"/>
          <w:szCs w:val="18"/>
        </w:rPr>
      </w:pPr>
      <w:r w:rsidRPr="009D3460">
        <w:rPr>
          <w:sz w:val="18"/>
          <w:szCs w:val="18"/>
        </w:rPr>
        <w:t xml:space="preserve">Joanna Cohen, Rajeev </w:t>
      </w:r>
      <w:proofErr w:type="spellStart"/>
      <w:r w:rsidRPr="009D3460">
        <w:rPr>
          <w:sz w:val="18"/>
          <w:szCs w:val="18"/>
        </w:rPr>
        <w:t>Cherukupalli</w:t>
      </w:r>
      <w:proofErr w:type="spellEnd"/>
    </w:p>
    <w:p w:rsidR="00491DB3" w:rsidRPr="009D3460" w:rsidRDefault="00491DB3" w:rsidP="00491DB3">
      <w:pPr>
        <w:rPr>
          <w:sz w:val="18"/>
          <w:szCs w:val="18"/>
        </w:rPr>
      </w:pPr>
    </w:p>
    <w:p w:rsidR="00491DB3" w:rsidRPr="009D3460" w:rsidRDefault="00491DB3" w:rsidP="00491DB3">
      <w:pPr>
        <w:rPr>
          <w:b/>
          <w:color w:val="000000"/>
          <w:sz w:val="20"/>
          <w:szCs w:val="20"/>
        </w:rPr>
      </w:pPr>
      <w:r w:rsidRPr="009D3460">
        <w:rPr>
          <w:b/>
          <w:color w:val="000000"/>
          <w:sz w:val="20"/>
          <w:szCs w:val="20"/>
        </w:rPr>
        <w:t>RTI International</w:t>
      </w:r>
    </w:p>
    <w:p w:rsidR="00491DB3" w:rsidRPr="009D3460" w:rsidRDefault="00491DB3" w:rsidP="00491DB3">
      <w:pPr>
        <w:rPr>
          <w:sz w:val="18"/>
          <w:szCs w:val="18"/>
        </w:rPr>
      </w:pPr>
      <w:r w:rsidRPr="009D3460">
        <w:rPr>
          <w:sz w:val="18"/>
          <w:szCs w:val="18"/>
        </w:rPr>
        <w:t xml:space="preserve">Steve </w:t>
      </w:r>
      <w:proofErr w:type="spellStart"/>
      <w:r w:rsidRPr="009D3460">
        <w:rPr>
          <w:sz w:val="18"/>
          <w:szCs w:val="18"/>
        </w:rPr>
        <w:t>Litavecz</w:t>
      </w:r>
      <w:proofErr w:type="spellEnd"/>
      <w:r w:rsidRPr="009D3460">
        <w:rPr>
          <w:sz w:val="18"/>
          <w:szCs w:val="18"/>
        </w:rPr>
        <w:t xml:space="preserve"> </w:t>
      </w:r>
    </w:p>
    <w:p w:rsidR="00491DB3" w:rsidRPr="009D3460" w:rsidRDefault="00491DB3" w:rsidP="00491DB3">
      <w:pPr>
        <w:rPr>
          <w:sz w:val="18"/>
          <w:szCs w:val="18"/>
        </w:rPr>
      </w:pPr>
      <w:bookmarkStart w:id="0" w:name="_GoBack"/>
      <w:bookmarkEnd w:id="0"/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9D3460">
        <w:rPr>
          <w:rFonts w:ascii="Times New Roman" w:hAnsi="Times New Roman" w:cs="Times New Roman"/>
          <w:b/>
          <w:sz w:val="20"/>
          <w:szCs w:val="20"/>
        </w:rPr>
        <w:t>Experts &amp; Scientific Advisors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9D3460">
        <w:rPr>
          <w:rFonts w:ascii="Times New Roman" w:hAnsi="Times New Roman" w:cs="Times New Roman"/>
          <w:i/>
          <w:iCs/>
          <w:sz w:val="18"/>
          <w:szCs w:val="18"/>
          <w:u w:val="single"/>
        </w:rPr>
        <w:t>Questionnaire Review Committee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sz w:val="18"/>
          <w:szCs w:val="18"/>
        </w:rPr>
        <w:t xml:space="preserve">Benjamin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Apelberg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>, Jeremy Morton, Marina Miguel-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Baquilod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Ron Borland, Gary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Giovino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Prakash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C. Gupta, Ahmed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Mandil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>.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9D3460">
        <w:rPr>
          <w:rFonts w:ascii="Times New Roman" w:hAnsi="Times New Roman" w:cs="Times New Roman"/>
          <w:i/>
          <w:iCs/>
          <w:sz w:val="18"/>
          <w:szCs w:val="18"/>
          <w:u w:val="single"/>
        </w:rPr>
        <w:t>Sample Review Committee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sz w:val="18"/>
          <w:szCs w:val="18"/>
        </w:rPr>
        <w:t xml:space="preserve">Michael Bowling, William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Kalsbeek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>, Krishna Mohan Palipudi, T. K. Roy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9D3460">
        <w:rPr>
          <w:rFonts w:ascii="Times New Roman" w:hAnsi="Times New Roman" w:cs="Times New Roman"/>
          <w:i/>
          <w:iCs/>
          <w:sz w:val="18"/>
          <w:szCs w:val="18"/>
          <w:u w:val="single"/>
        </w:rPr>
        <w:t>Scientific Advisors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D3460">
        <w:rPr>
          <w:rFonts w:ascii="Times New Roman" w:hAnsi="Times New Roman" w:cs="Times New Roman"/>
          <w:sz w:val="18"/>
          <w:szCs w:val="18"/>
        </w:rPr>
        <w:t xml:space="preserve">Sonia Angell ,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Neeraj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Bhalla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Frank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Chaloupka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Prabhat Jha, Judith Mackay, Sir Richard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Peto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Jonathan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Samet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Gajalakshmi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Vendhan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Witold</w:t>
      </w:r>
      <w:proofErr w:type="spellEnd"/>
      <w:r w:rsidRPr="009D34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3460">
        <w:rPr>
          <w:rFonts w:ascii="Times New Roman" w:hAnsi="Times New Roman" w:cs="Times New Roman"/>
          <w:sz w:val="18"/>
          <w:szCs w:val="18"/>
        </w:rPr>
        <w:t>Zatonski</w:t>
      </w:r>
      <w:proofErr w:type="spellEnd"/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91DB3" w:rsidRPr="009D3460" w:rsidRDefault="00491DB3" w:rsidP="00491DB3">
      <w:pPr>
        <w:rPr>
          <w:b/>
          <w:color w:val="000000"/>
          <w:sz w:val="20"/>
          <w:szCs w:val="20"/>
        </w:rPr>
      </w:pPr>
      <w:r w:rsidRPr="009D3460">
        <w:rPr>
          <w:b/>
          <w:color w:val="000000"/>
          <w:sz w:val="20"/>
          <w:szCs w:val="20"/>
        </w:rPr>
        <w:t>Bloomberg Philanthropies – Bloomberg Initiative to Reduce Tobacco Use</w:t>
      </w:r>
    </w:p>
    <w:p w:rsidR="00491DB3" w:rsidRPr="009D3460" w:rsidRDefault="00491DB3" w:rsidP="00491D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3460">
        <w:rPr>
          <w:rFonts w:ascii="Times New Roman" w:hAnsi="Times New Roman" w:cs="Times New Roman"/>
          <w:sz w:val="18"/>
          <w:szCs w:val="18"/>
        </w:rPr>
        <w:t>Kelly Henning, Jennifer Ellis</w:t>
      </w:r>
    </w:p>
    <w:p w:rsidR="00CB0604" w:rsidRDefault="00FE56F3"/>
    <w:sectPr w:rsidR="00CB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B3"/>
    <w:rsid w:val="00491DB3"/>
    <w:rsid w:val="00D151D6"/>
    <w:rsid w:val="00F52EC4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DB3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1DB3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49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DB3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1DB3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49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2012-02-21T11:17:00Z</dcterms:created>
  <dcterms:modified xsi:type="dcterms:W3CDTF">2012-02-21T18:14:00Z</dcterms:modified>
</cp:coreProperties>
</file>