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F" w:rsidRPr="008128E2" w:rsidRDefault="00F232DF" w:rsidP="00F232DF">
      <w:pPr>
        <w:rPr>
          <w:color w:val="000000"/>
        </w:rPr>
      </w:pPr>
      <w:r w:rsidRPr="008128E2">
        <w:rPr>
          <w:b/>
        </w:rPr>
        <w:t xml:space="preserve">Table </w:t>
      </w:r>
      <w:r w:rsidR="001B10CF">
        <w:rPr>
          <w:b/>
        </w:rPr>
        <w:t>S</w:t>
      </w:r>
      <w:r>
        <w:rPr>
          <w:b/>
        </w:rPr>
        <w:t>1</w:t>
      </w:r>
      <w:r w:rsidRPr="008128E2">
        <w:rPr>
          <w:b/>
        </w:rPr>
        <w:t>.</w:t>
      </w:r>
      <w:r w:rsidRPr="001D2F73">
        <w:t xml:space="preserve">  PCR primers and </w:t>
      </w:r>
      <w:proofErr w:type="spellStart"/>
      <w:r w:rsidRPr="001D2F73">
        <w:t>amplicons</w:t>
      </w:r>
      <w:proofErr w:type="spellEnd"/>
      <w:r w:rsidRPr="001D2F73">
        <w:t xml:space="preserve"> f</w:t>
      </w:r>
      <w:r>
        <w:t xml:space="preserve">or rs993076 and the CETP splice variant (other primers are available on request).  </w:t>
      </w:r>
      <w:proofErr w:type="gramStart"/>
      <w:r w:rsidRPr="008128E2">
        <w:t>rs5883</w:t>
      </w:r>
      <w:proofErr w:type="gramEnd"/>
      <w:r w:rsidRPr="008128E2">
        <w:t xml:space="preserve"> was determined using preselected commercial </w:t>
      </w:r>
      <w:proofErr w:type="spellStart"/>
      <w:r w:rsidRPr="008128E2">
        <w:t>TaqMan</w:t>
      </w:r>
      <w:proofErr w:type="spellEnd"/>
      <w:r w:rsidRPr="008128E2">
        <w:t xml:space="preserve"> and PCR probes (Life Technologies, Foster City, CA).</w:t>
      </w:r>
    </w:p>
    <w:p w:rsidR="00F232DF" w:rsidRDefault="00F232DF" w:rsidP="00F232DF">
      <w:pPr>
        <w:rPr>
          <w:b/>
        </w:rPr>
      </w:pPr>
    </w:p>
    <w:tbl>
      <w:tblPr>
        <w:tblStyle w:val="TableGrid"/>
        <w:tblpPr w:leftFromText="180" w:rightFromText="180" w:vertAnchor="page" w:horzAnchor="margin" w:tblpY="2911"/>
        <w:tblW w:w="8838" w:type="dxa"/>
        <w:tblLook w:val="04A0" w:firstRow="1" w:lastRow="0" w:firstColumn="1" w:lastColumn="0" w:noHBand="0" w:noVBand="1"/>
      </w:tblPr>
      <w:tblGrid>
        <w:gridCol w:w="2898"/>
        <w:gridCol w:w="3240"/>
        <w:gridCol w:w="2700"/>
      </w:tblGrid>
      <w:tr w:rsidR="00F232DF" w:rsidRPr="00FF3587" w:rsidTr="00F232DF">
        <w:trPr>
          <w:trHeight w:val="288"/>
        </w:trPr>
        <w:tc>
          <w:tcPr>
            <w:tcW w:w="2898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D0C2C">
              <w:rPr>
                <w:rFonts w:asciiTheme="minorHAnsi" w:hAnsiTheme="minorHAnsi" w:cstheme="minorHAnsi"/>
                <w:b/>
                <w:sz w:val="24"/>
              </w:rPr>
              <w:t>Primer Name</w:t>
            </w:r>
          </w:p>
        </w:tc>
        <w:tc>
          <w:tcPr>
            <w:tcW w:w="324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D0C2C">
              <w:rPr>
                <w:rFonts w:asciiTheme="minorHAnsi" w:hAnsiTheme="minorHAnsi" w:cstheme="minorHAnsi"/>
                <w:b/>
                <w:sz w:val="24"/>
              </w:rPr>
              <w:t>Sequence</w:t>
            </w:r>
          </w:p>
        </w:tc>
        <w:tc>
          <w:tcPr>
            <w:tcW w:w="270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D0C2C">
              <w:rPr>
                <w:rFonts w:asciiTheme="minorHAnsi" w:hAnsiTheme="minorHAnsi" w:cstheme="minorHAnsi"/>
                <w:b/>
                <w:sz w:val="24"/>
              </w:rPr>
              <w:t>Purpose</w:t>
            </w:r>
          </w:p>
        </w:tc>
      </w:tr>
      <w:tr w:rsidR="00F232DF" w:rsidRPr="00FF3587" w:rsidTr="00F232DF">
        <w:trPr>
          <w:trHeight w:val="288"/>
        </w:trPr>
        <w:tc>
          <w:tcPr>
            <w:tcW w:w="2898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ex8-10spF3*</w:t>
            </w:r>
          </w:p>
        </w:tc>
        <w:tc>
          <w:tcPr>
            <w:tcW w:w="324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GGAGTCCCATCACAAGGCAG</w:t>
            </w:r>
          </w:p>
        </w:tc>
        <w:tc>
          <w:tcPr>
            <w:tcW w:w="2700" w:type="dxa"/>
          </w:tcPr>
          <w:p w:rsidR="00F232DF" w:rsidRPr="00DD0C2C" w:rsidRDefault="00F232DF" w:rsidP="00F232DF">
            <w:pPr>
              <w:ind w:left="-18" w:firstLine="18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r w:rsidRPr="00DD0C2C">
              <w:rPr>
                <w:rFonts w:ascii="Symbol" w:hAnsi="Symbol" w:cstheme="minorHAnsi"/>
                <w:sz w:val="22"/>
                <w:szCs w:val="22"/>
              </w:rPr>
              <w:t></w:t>
            </w: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9 splice specific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ex9_10spF</w:t>
            </w:r>
          </w:p>
        </w:tc>
        <w:tc>
          <w:tcPr>
            <w:tcW w:w="324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CCTGATGGGAGACGAGTTCAA</w:t>
            </w:r>
          </w:p>
        </w:tc>
        <w:tc>
          <w:tcPr>
            <w:tcW w:w="270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Long splice specific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genex14R*</w:t>
            </w:r>
          </w:p>
        </w:tc>
        <w:tc>
          <w:tcPr>
            <w:tcW w:w="3240" w:type="dxa"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TACGAGACATGACCTCAGGGA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Common splice reverse (FAM label)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rs9930761-192F-FAM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TTGAATGAGTGAAAGCCCCG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Fluorescent genotyping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rs9930761-342R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GACGCTGGCTGGACCCT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Reverse genotyping primer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 rs5883 E9F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CACCTTCTCGCCCACACTG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Taqman</w:t>
            </w:r>
            <w:proofErr w:type="spellEnd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 PCR probes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rs5883 E9R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GAACTCGTCTCCCATCAGGC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Taqman</w:t>
            </w:r>
            <w:proofErr w:type="spellEnd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 PCR probes</w:t>
            </w:r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seq-54F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CCCGTCATCACAGCCTCCTA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seq-1254R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CATTCAGCCCAGAGTGCAGAT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seq-1065F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GCCCTGACTAATGTCGTTACTTGA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seq-2268R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CCCATGTTGCCCAGGCT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seq-1928F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TGCATGCACCGGTAATCAGAA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seq-3128R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CCCAGGTCTCCAGCACTGC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  <w:tr w:rsidR="00F232DF" w:rsidRPr="00FF3587" w:rsidTr="00F232DF">
        <w:trPr>
          <w:trHeight w:val="276"/>
        </w:trPr>
        <w:tc>
          <w:tcPr>
            <w:tcW w:w="2898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CETP ex8-10 seq-2320F</w:t>
            </w:r>
          </w:p>
        </w:tc>
        <w:tc>
          <w:tcPr>
            <w:tcW w:w="324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CGGCGGTGCATACCTATAGTC</w:t>
            </w:r>
          </w:p>
        </w:tc>
        <w:tc>
          <w:tcPr>
            <w:tcW w:w="2700" w:type="dxa"/>
            <w:noWrap/>
          </w:tcPr>
          <w:p w:rsidR="00F232DF" w:rsidRPr="00DD0C2C" w:rsidRDefault="00F232DF" w:rsidP="00F2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 xml:space="preserve">Sequencing </w:t>
            </w:r>
            <w:proofErr w:type="spellStart"/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amplicon</w:t>
            </w:r>
            <w:proofErr w:type="spellEnd"/>
          </w:p>
        </w:tc>
      </w:tr>
    </w:tbl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F232DF" w:rsidRPr="000A49A4" w:rsidRDefault="00F232DF" w:rsidP="00F232DF">
      <w:r>
        <w:rPr>
          <w:b/>
        </w:rPr>
        <w:t xml:space="preserve">*F: </w:t>
      </w:r>
      <w:r>
        <w:t xml:space="preserve">primer in forward direction; </w:t>
      </w:r>
      <w:r w:rsidRPr="00BC0D06">
        <w:rPr>
          <w:b/>
        </w:rPr>
        <w:t>R</w:t>
      </w:r>
      <w:r>
        <w:t>: primer in reverse direction</w:t>
      </w:r>
    </w:p>
    <w:p w:rsidR="00F232DF" w:rsidRDefault="00F232DF" w:rsidP="00F232DF">
      <w:pPr>
        <w:rPr>
          <w:b/>
        </w:rPr>
      </w:pPr>
    </w:p>
    <w:p w:rsidR="00F232DF" w:rsidRDefault="00F232DF" w:rsidP="00F232DF">
      <w:pPr>
        <w:rPr>
          <w:b/>
        </w:rPr>
      </w:pPr>
    </w:p>
    <w:p w:rsidR="00914FF0" w:rsidRDefault="00914FF0" w:rsidP="00F232DF">
      <w:pPr>
        <w:spacing w:after="200" w:line="276" w:lineRule="auto"/>
      </w:pPr>
      <w:bookmarkStart w:id="0" w:name="_GoBack"/>
      <w:bookmarkEnd w:id="0"/>
    </w:p>
    <w:sectPr w:rsidR="0091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F"/>
    <w:rsid w:val="001B10CF"/>
    <w:rsid w:val="00914FF0"/>
    <w:rsid w:val="00F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D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D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2012-01-31T18:52:00Z</dcterms:created>
  <dcterms:modified xsi:type="dcterms:W3CDTF">2012-01-31T18:53:00Z</dcterms:modified>
</cp:coreProperties>
</file>