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DD" w:rsidRPr="00E61ADD" w:rsidRDefault="00E61ADD" w:rsidP="00E61ADD">
      <w:pPr>
        <w:spacing w:after="0"/>
        <w:rPr>
          <w:b/>
        </w:rPr>
      </w:pPr>
      <w:r w:rsidRPr="00E61ADD">
        <w:rPr>
          <w:b/>
          <w:bCs/>
        </w:rPr>
        <w:t>Box S1: Description of study quality criterion</w:t>
      </w:r>
    </w:p>
    <w:tbl>
      <w:tblPr>
        <w:tblpPr w:leftFromText="180" w:rightFromText="180" w:vertAnchor="text" w:horzAnchor="margin" w:tblpY="113"/>
        <w:tblW w:w="8614" w:type="dxa"/>
        <w:tblLook w:val="00A0"/>
      </w:tblPr>
      <w:tblGrid>
        <w:gridCol w:w="392"/>
        <w:gridCol w:w="2268"/>
        <w:gridCol w:w="5954"/>
      </w:tblGrid>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p>
        </w:tc>
        <w:tc>
          <w:tcPr>
            <w:tcW w:w="2268" w:type="dxa"/>
            <w:shd w:val="clear" w:color="auto" w:fill="auto"/>
          </w:tcPr>
          <w:p w:rsidR="00E61ADD" w:rsidRPr="00317006" w:rsidRDefault="00E61ADD" w:rsidP="00E61ADD">
            <w:pPr>
              <w:pStyle w:val="Tables"/>
              <w:spacing w:after="0" w:line="240" w:lineRule="auto"/>
              <w:jc w:val="both"/>
              <w:rPr>
                <w:sz w:val="20"/>
                <w:szCs w:val="20"/>
              </w:rPr>
            </w:pPr>
            <w:r w:rsidRPr="00317006">
              <w:rPr>
                <w:sz w:val="20"/>
                <w:szCs w:val="20"/>
              </w:rPr>
              <w:t>Criterion</w:t>
            </w:r>
          </w:p>
        </w:tc>
        <w:tc>
          <w:tcPr>
            <w:tcW w:w="5954" w:type="dxa"/>
            <w:shd w:val="clear" w:color="auto" w:fill="auto"/>
          </w:tcPr>
          <w:p w:rsidR="00E61ADD" w:rsidRPr="00317006" w:rsidRDefault="00E61ADD" w:rsidP="00E61ADD">
            <w:pPr>
              <w:pStyle w:val="Tables"/>
              <w:spacing w:after="0" w:line="240" w:lineRule="auto"/>
              <w:jc w:val="both"/>
              <w:rPr>
                <w:sz w:val="20"/>
                <w:szCs w:val="20"/>
              </w:rPr>
            </w:pPr>
            <w:r w:rsidRPr="00317006">
              <w:rPr>
                <w:sz w:val="20"/>
                <w:szCs w:val="20"/>
              </w:rPr>
              <w:t>Description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1.</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Defined catchment</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Did the study have a well-defined catchment area to ensure that the numerator (case) and denominator populations came from the same source? Evidence of a defined catchment was needed to meet this criterion.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2.</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Accurate denominator</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Did the study report how it estimated the denominator population from which the cases came? Was the source known to be accurate, reliable and valid? Evidence of an accurate denominator was needed to meet this criterion.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3.</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Population-based case finding</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 xml:space="preserve">Did the study employ a population-based case finding approach? This includes identifying cases from community-based settings and service contact points, including </w:t>
            </w:r>
            <w:r w:rsidRPr="007E616C">
              <w:rPr>
                <w:b w:val="0"/>
                <w:sz w:val="20"/>
                <w:szCs w:val="20"/>
              </w:rPr>
              <w:t>primary, secondary and tertiary</w:t>
            </w:r>
            <w:r w:rsidRPr="00317006">
              <w:rPr>
                <w:b w:val="0"/>
                <w:sz w:val="20"/>
                <w:szCs w:val="20"/>
              </w:rPr>
              <w:t xml:space="preserve"> facilities. Studies which only considered hospital-based admissions, for example, would not meet this quality criterion as they would be likely to underestimate the true rate of disorder in the community. Evidence of a broad case-finding approach was needed to meet this criterion.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4.</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Standardised research diagnoses</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 xml:space="preserve">Did the study use standardised research diagnoses to ensure that the cases met comparable diagnostic criteria for psychotic disorder? Studies reliant on clinician-led chart diagnoses may introduce bias into diagnoses given inter-clinician variation in making diagnoses. Applying standardised criteria, by using a method such as the Schedule for the Clinical Assessment in Neuropsychology [SCAN] or using </w:t>
            </w:r>
            <w:r w:rsidRPr="007E616C">
              <w:rPr>
                <w:b w:val="0"/>
                <w:sz w:val="20"/>
                <w:szCs w:val="20"/>
              </w:rPr>
              <w:t>OPCRIT</w:t>
            </w:r>
            <w:r w:rsidRPr="007E616C">
              <w:rPr>
                <w:b w:val="0"/>
                <w:sz w:val="20"/>
                <w:szCs w:val="20"/>
              </w:rPr>
              <w:softHyphen/>
              <w:t>-</w:t>
            </w:r>
            <w:r w:rsidRPr="00317006">
              <w:rPr>
                <w:b w:val="0"/>
                <w:sz w:val="20"/>
                <w:szCs w:val="20"/>
              </w:rPr>
              <w:t>generated diagnoses would reduce such problems. Evidence of attempts to standardise diagnoses was needed to meet this criterion.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5.</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Blinding to demographic factors</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Did the study blind the person/panel who diagnosed cases to certain demographic characteristics? For example, ethnicity, where it has been argued that raised rates of psychosis in migrants and their offspring</w:t>
            </w:r>
            <w:r>
              <w:rPr>
                <w:b w:val="0"/>
                <w:sz w:val="20"/>
                <w:szCs w:val="20"/>
              </w:rPr>
              <w:t xml:space="preserve"> </w:t>
            </w:r>
            <w:r>
              <w:rPr>
                <w:b w:val="0"/>
                <w:sz w:val="20"/>
                <w:szCs w:val="20"/>
              </w:rPr>
              <w:fldChar w:fldCharType="begin"/>
            </w:r>
            <w:r>
              <w:rPr>
                <w:b w:val="0"/>
                <w:sz w:val="20"/>
                <w:szCs w:val="20"/>
              </w:rPr>
              <w:instrText xml:space="preserve"> ADDIN EN.CITE &lt;EndNote&gt;&lt;Cite&gt;&lt;Author&gt;Cantor-Graae&lt;/Author&gt;&lt;Year&gt;2005&lt;/Year&gt;&lt;RecNum&gt;344&lt;/RecNum&gt;&lt;DisplayText&gt;[11]&lt;/DisplayText&gt;&lt;record&gt;&lt;rec-number&gt;344&lt;/rec-number&gt;&lt;foreign-keys&gt;&lt;key app="EN" db-id="9zw99sx06a595nezaadvdws7fwxwvxtet0ax"&gt;344&lt;/key&gt;&lt;/foreign-keys&gt;&lt;ref-type name="Journal Article"&gt;17&lt;/ref-type&gt;&lt;contributors&gt;&lt;authors&gt;&lt;author&gt;Cantor-Graae, Elizabeth&lt;/author&gt;&lt;author&gt;Selten, Jean-Paul&lt;/author&gt;&lt;/authors&gt;&lt;/contributors&gt;&lt;titles&gt;&lt;title&gt;Schizophrenia and Migration: A Meta-Analysis and Review&lt;/title&gt;&lt;secondary-title&gt;Am J Psychiatry&lt;/secondary-title&gt;&lt;alt-title&gt;Am J Psychiatry&lt;/alt-title&gt;&lt;/titles&gt;&lt;periodical&gt;&lt;full-title&gt;Am J Psychiatry&lt;/full-title&gt;&lt;/periodical&gt;&lt;alt-periodical&gt;&lt;full-title&gt;Am J Psychiatry&lt;/full-title&gt;&lt;/alt-periodical&gt;&lt;pages&gt;12-24&lt;/pages&gt;&lt;volume&gt;162&lt;/volume&gt;&lt;number&gt;1&lt;/number&gt;&lt;dates&gt;&lt;year&gt;2005&lt;/year&gt;&lt;pub-dates&gt;&lt;date&gt;January 1, 2005&lt;/date&gt;&lt;/pub-dates&gt;&lt;/dates&gt;&lt;urls&gt;&lt;related-urls&gt;&lt;url&gt;http://ajp.psychiatryonline.org/cgi/content/abstract/162/1/12&lt;/url&gt;&lt;/related-urls&gt;&lt;pdf-urls&gt;&lt;url&gt;c:\phd\library\ejournals\0187CantorGraae(2005)AJP.pdf&lt;/url&gt;&lt;url&gt;Paper copy: S0187&lt;/url&gt;&lt;url&gt;Box: S2&lt;/url&gt;&lt;/pdf-urls&gt;&lt;/urls&gt;&lt;custom1&gt;Y&lt;/custom1&gt;&lt;/record&gt;&lt;/Cite&gt;&lt;/EndNote&gt;</w:instrText>
            </w:r>
            <w:r>
              <w:rPr>
                <w:b w:val="0"/>
                <w:sz w:val="20"/>
                <w:szCs w:val="20"/>
              </w:rPr>
              <w:fldChar w:fldCharType="separate"/>
            </w:r>
            <w:r>
              <w:rPr>
                <w:b w:val="0"/>
                <w:noProof/>
                <w:sz w:val="20"/>
                <w:szCs w:val="20"/>
              </w:rPr>
              <w:t>[11]</w:t>
            </w:r>
            <w:r>
              <w:rPr>
                <w:b w:val="0"/>
                <w:sz w:val="20"/>
                <w:szCs w:val="20"/>
              </w:rPr>
              <w:fldChar w:fldCharType="end"/>
            </w:r>
            <w:r w:rsidRPr="00317006">
              <w:rPr>
                <w:b w:val="0"/>
                <w:sz w:val="20"/>
                <w:szCs w:val="20"/>
              </w:rPr>
              <w:t xml:space="preserve"> may be due to misunderstanding of cultural differences in </w:t>
            </w:r>
            <w:proofErr w:type="spellStart"/>
            <w:r w:rsidRPr="00317006">
              <w:rPr>
                <w:b w:val="0"/>
                <w:sz w:val="20"/>
                <w:szCs w:val="20"/>
              </w:rPr>
              <w:t>symptomatology</w:t>
            </w:r>
            <w:proofErr w:type="spellEnd"/>
            <w:r w:rsidRPr="00317006">
              <w:rPr>
                <w:b w:val="0"/>
                <w:sz w:val="20"/>
                <w:szCs w:val="20"/>
              </w:rPr>
              <w:t xml:space="preserve"> or, worse, institutionalised racism. Blinding, or partially blinding diagnosticians to this information will reduce the likelihood of this explanation. Some evidence of blinding was needed to meet this criterion.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6.</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Inclusion criteria</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 xml:space="preserve">Did the study use inclusion criteria to accurately define their study population (numerator and denominator)? Were these criteria sufficient? Standard criteria in epidemiological research include age limits, residency within catchment area at time of disorder, absence of an </w:t>
            </w:r>
            <w:r w:rsidRPr="007E616C">
              <w:rPr>
                <w:b w:val="0"/>
                <w:sz w:val="20"/>
                <w:szCs w:val="20"/>
              </w:rPr>
              <w:t>organic basis</w:t>
            </w:r>
            <w:r w:rsidRPr="00317006">
              <w:rPr>
                <w:b w:val="0"/>
                <w:sz w:val="20"/>
                <w:szCs w:val="20"/>
              </w:rPr>
              <w:t xml:space="preserve"> to the disorder and no previous episode of disorder (incidence studies only). Inclusion criteria needed to be present </w:t>
            </w:r>
            <w:r w:rsidRPr="00317006">
              <w:rPr>
                <w:b w:val="0"/>
                <w:i/>
                <w:sz w:val="20"/>
                <w:szCs w:val="20"/>
              </w:rPr>
              <w:t>and</w:t>
            </w:r>
            <w:r w:rsidRPr="00317006">
              <w:rPr>
                <w:b w:val="0"/>
                <w:sz w:val="20"/>
                <w:szCs w:val="20"/>
              </w:rPr>
              <w:t xml:space="preserve"> of sufficient relevance/quality to meet this criterion.</w:t>
            </w:r>
          </w:p>
        </w:tc>
      </w:tr>
      <w:tr w:rsidR="00E61ADD" w:rsidRPr="00317006" w:rsidTr="00E61ADD">
        <w:tc>
          <w:tcPr>
            <w:tcW w:w="392" w:type="dxa"/>
            <w:shd w:val="clear" w:color="auto" w:fill="auto"/>
          </w:tcPr>
          <w:p w:rsidR="00E61ADD" w:rsidRPr="00317006" w:rsidRDefault="00E61ADD" w:rsidP="00E61ADD">
            <w:pPr>
              <w:pStyle w:val="Tables"/>
              <w:spacing w:after="0" w:line="240" w:lineRule="auto"/>
              <w:jc w:val="both"/>
              <w:rPr>
                <w:bCs/>
                <w:sz w:val="20"/>
                <w:szCs w:val="20"/>
              </w:rPr>
            </w:pPr>
            <w:r w:rsidRPr="00317006">
              <w:rPr>
                <w:bCs/>
                <w:sz w:val="20"/>
                <w:szCs w:val="20"/>
              </w:rPr>
              <w:t>7.</w:t>
            </w:r>
          </w:p>
        </w:tc>
        <w:tc>
          <w:tcPr>
            <w:tcW w:w="2268" w:type="dxa"/>
            <w:shd w:val="clear" w:color="auto" w:fill="auto"/>
          </w:tcPr>
          <w:p w:rsidR="00E61ADD" w:rsidRPr="00317006" w:rsidRDefault="00E61ADD" w:rsidP="00E61ADD">
            <w:pPr>
              <w:pStyle w:val="Tables"/>
              <w:spacing w:after="0" w:line="240" w:lineRule="auto"/>
              <w:jc w:val="both"/>
              <w:rPr>
                <w:b w:val="0"/>
                <w:i/>
                <w:sz w:val="20"/>
                <w:szCs w:val="20"/>
              </w:rPr>
            </w:pPr>
            <w:r w:rsidRPr="00317006">
              <w:rPr>
                <w:b w:val="0"/>
                <w:i/>
                <w:sz w:val="20"/>
                <w:szCs w:val="20"/>
              </w:rPr>
              <w:t>Leakage study</w:t>
            </w:r>
          </w:p>
        </w:tc>
        <w:tc>
          <w:tcPr>
            <w:tcW w:w="5954" w:type="dxa"/>
            <w:shd w:val="clear" w:color="auto" w:fill="auto"/>
          </w:tcPr>
          <w:p w:rsidR="00E61ADD" w:rsidRPr="00317006" w:rsidRDefault="00E61ADD" w:rsidP="00E61ADD">
            <w:pPr>
              <w:pStyle w:val="Tables"/>
              <w:spacing w:after="0" w:line="240" w:lineRule="auto"/>
              <w:jc w:val="both"/>
              <w:rPr>
                <w:b w:val="0"/>
                <w:sz w:val="20"/>
                <w:szCs w:val="20"/>
              </w:rPr>
            </w:pPr>
            <w:r w:rsidRPr="00317006">
              <w:rPr>
                <w:b w:val="0"/>
                <w:sz w:val="20"/>
                <w:szCs w:val="20"/>
              </w:rPr>
              <w:t xml:space="preserve">Did the study conduct any kind of </w:t>
            </w:r>
            <w:r w:rsidRPr="007E616C">
              <w:rPr>
                <w:b w:val="0"/>
                <w:sz w:val="20"/>
                <w:szCs w:val="20"/>
              </w:rPr>
              <w:t>leakage study</w:t>
            </w:r>
            <w:r w:rsidRPr="00317006">
              <w:rPr>
                <w:b w:val="0"/>
                <w:sz w:val="20"/>
                <w:szCs w:val="20"/>
              </w:rPr>
              <w:t>? A leakage study is an attempt by the investigators to identify any cases that may have been missed during original case identification. Leakage studies may be formal (systematic, regular consultation with mental health and other service providers in the region) or more informal (sampling a proportion of such services to estimate possible “leakage”). Evidence of any kind of leakage study was needed to meet this criterion.</w:t>
            </w:r>
          </w:p>
        </w:tc>
      </w:tr>
    </w:tbl>
    <w:p w:rsidR="005009EA" w:rsidRPr="00E61ADD" w:rsidRDefault="003B3431" w:rsidP="00E61ADD">
      <w:pPr>
        <w:spacing w:after="0"/>
        <w:rPr>
          <w:b/>
        </w:rPr>
      </w:pPr>
    </w:p>
    <w:sectPr w:rsidR="005009EA" w:rsidRPr="00E61ADD" w:rsidSect="009D49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31" w:rsidRDefault="003B3431" w:rsidP="00E61ADD">
      <w:pPr>
        <w:spacing w:after="0" w:line="240" w:lineRule="auto"/>
      </w:pPr>
      <w:r>
        <w:separator/>
      </w:r>
    </w:p>
  </w:endnote>
  <w:endnote w:type="continuationSeparator" w:id="0">
    <w:p w:rsidR="003B3431" w:rsidRDefault="003B3431" w:rsidP="00E61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31" w:rsidRDefault="003B3431" w:rsidP="00E61ADD">
      <w:pPr>
        <w:spacing w:after="0" w:line="240" w:lineRule="auto"/>
      </w:pPr>
      <w:r>
        <w:separator/>
      </w:r>
    </w:p>
  </w:footnote>
  <w:footnote w:type="continuationSeparator" w:id="0">
    <w:p w:rsidR="003B3431" w:rsidRDefault="003B3431" w:rsidP="00E61A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2F1"/>
    <w:rsid w:val="003B3431"/>
    <w:rsid w:val="004B011C"/>
    <w:rsid w:val="005012F1"/>
    <w:rsid w:val="00565C7F"/>
    <w:rsid w:val="008A59D5"/>
    <w:rsid w:val="008E0D06"/>
    <w:rsid w:val="009D49FD"/>
    <w:rsid w:val="00E61ADD"/>
    <w:rsid w:val="00E741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BodyText"/>
    <w:uiPriority w:val="99"/>
    <w:rsid w:val="005012F1"/>
    <w:pPr>
      <w:spacing w:line="360" w:lineRule="auto"/>
    </w:pPr>
    <w:rPr>
      <w:rFonts w:ascii="Calibri" w:eastAsia="Cambria" w:hAnsi="Calibri" w:cs="Times New Roman"/>
      <w:b/>
      <w:szCs w:val="24"/>
    </w:rPr>
  </w:style>
  <w:style w:type="paragraph" w:styleId="BodyText">
    <w:name w:val="Body Text"/>
    <w:basedOn w:val="Normal"/>
    <w:link w:val="BodyTextChar"/>
    <w:uiPriority w:val="99"/>
    <w:semiHidden/>
    <w:unhideWhenUsed/>
    <w:rsid w:val="005012F1"/>
    <w:pPr>
      <w:spacing w:after="120"/>
    </w:pPr>
  </w:style>
  <w:style w:type="character" w:customStyle="1" w:styleId="BodyTextChar">
    <w:name w:val="Body Text Char"/>
    <w:basedOn w:val="DefaultParagraphFont"/>
    <w:link w:val="BodyText"/>
    <w:uiPriority w:val="99"/>
    <w:semiHidden/>
    <w:rsid w:val="005012F1"/>
  </w:style>
  <w:style w:type="paragraph" w:styleId="Header">
    <w:name w:val="header"/>
    <w:basedOn w:val="Normal"/>
    <w:link w:val="HeaderChar"/>
    <w:uiPriority w:val="99"/>
    <w:semiHidden/>
    <w:unhideWhenUsed/>
    <w:rsid w:val="00E61A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ADD"/>
  </w:style>
  <w:style w:type="paragraph" w:styleId="Footer">
    <w:name w:val="footer"/>
    <w:basedOn w:val="Normal"/>
    <w:link w:val="FooterChar"/>
    <w:uiPriority w:val="99"/>
    <w:semiHidden/>
    <w:unhideWhenUsed/>
    <w:rsid w:val="00E61A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1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Kirkbride</dc:creator>
  <cp:lastModifiedBy>James Kirkbride</cp:lastModifiedBy>
  <cp:revision>2</cp:revision>
  <dcterms:created xsi:type="dcterms:W3CDTF">2012-01-26T13:34:00Z</dcterms:created>
  <dcterms:modified xsi:type="dcterms:W3CDTF">2012-01-26T14:12:00Z</dcterms:modified>
</cp:coreProperties>
</file>