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11051"/>
      </w:tblGrid>
      <w:tr w:rsidR="0018351F" w:rsidRPr="00317006" w:rsidTr="00DA33B7">
        <w:trPr>
          <w:trHeight w:val="262"/>
        </w:trPr>
        <w:tc>
          <w:tcPr>
            <w:tcW w:w="110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18351F" w:rsidRPr="00317006" w:rsidRDefault="00FC0353" w:rsidP="00E722E9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Figure </w:t>
            </w:r>
            <w:r w:rsidR="008A2B08">
              <w:rPr>
                <w:b/>
                <w:bCs/>
                <w:color w:val="FFFFFF"/>
              </w:rPr>
              <w:t>S</w:t>
            </w:r>
            <w:r w:rsidR="0018351F" w:rsidRPr="00317006">
              <w:rPr>
                <w:b/>
                <w:bCs/>
                <w:color w:val="FFFFFF"/>
              </w:rPr>
              <w:t xml:space="preserve">1: Citation matrix </w:t>
            </w:r>
            <w:r w:rsidR="00E722E9">
              <w:rPr>
                <w:b/>
                <w:bCs/>
                <w:color w:val="FFFFFF"/>
              </w:rPr>
              <w:t>conceptualising</w:t>
            </w:r>
            <w:r w:rsidR="0018351F" w:rsidRPr="00317006">
              <w:rPr>
                <w:b/>
                <w:bCs/>
                <w:color w:val="FFFFFF"/>
              </w:rPr>
              <w:t xml:space="preserve"> research streams, themes &amp; blocks to which citations might contribute original data</w:t>
            </w:r>
            <w:r w:rsidR="00E722E9">
              <w:rPr>
                <w:b/>
                <w:bCs/>
                <w:color w:val="FFFFFF"/>
              </w:rPr>
              <w:t xml:space="preserve"> in our series of systematic reviews</w:t>
            </w:r>
          </w:p>
        </w:tc>
      </w:tr>
    </w:tbl>
    <w:p w:rsidR="0018351F" w:rsidRPr="00980374" w:rsidRDefault="001B1F84" w:rsidP="0018351F">
      <w:pPr>
        <w:jc w:val="both"/>
      </w:pPr>
      <w:r>
        <w:rPr>
          <w:noProof/>
          <w:lang w:eastAsia="en-GB"/>
        </w:rPr>
        <w:pict>
          <v:group id="_x0000_s1085" style="position:absolute;left:0;text-align:left;margin-left:-560.2pt;margin-top:16.7pt;width:735.5pt;height:381.2pt;z-index:251702272;mso-position-horizontal-relative:text;mso-position-vertical-relative:text" coordorigin="1369,1774" coordsize="14710,76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3992;top:7616;width:4541;height:460" o:regroupid="1" fillcolor="#c6d9f1">
              <v:textbox style="mso-next-textbox:#_x0000_s1080">
                <w:txbxContent>
                  <w:p w:rsidR="00006570" w:rsidRDefault="00006570" w:rsidP="0018351F">
                    <w:pPr>
                      <w:ind w:left="-142" w:right="-233"/>
                    </w:pPr>
                    <w:r>
                      <w:t xml:space="preserve"> ETHNCITY x SEX, ETHNICITY x AGE, ETC…</w:t>
                    </w:r>
                  </w:p>
                </w:txbxContent>
              </v:textbox>
            </v:shape>
            <v:group id="_x0000_s1084" style="position:absolute;left:1369;top:1774;width:14710;height:7624" coordorigin="1369,1774" coordsize="14710,7624" o:regroupid="1">
              <v:group id="_x0000_s1035" style="position:absolute;left:1378;top:3521;width:13221;height:1530" coordorigin="1689,3435" coordsize="13221,1530" o:regroupid="2">
                <v:group id="_x0000_s1036" style="position:absolute;left:2594;top:3435;width:11859;height:1530" coordorigin="2585,2730" coordsize="11859,1530">
                  <v:shape id="_x0000_s1037" type="#_x0000_t202" style="position:absolute;left:2585;top:2730;width:11859;height:440" fillcolor="#9bbb59">
                    <v:textbox style="mso-next-textbox:#_x0000_s1037">
                      <w:txbxContent>
                        <w:p w:rsidR="00006570" w:rsidRPr="00420140" w:rsidRDefault="00006570" w:rsidP="0018351F">
                          <w:pPr>
                            <w:rPr>
                              <w:b/>
                            </w:rPr>
                          </w:pPr>
                          <w:r w:rsidRPr="00420140">
                            <w:rPr>
                              <w:b/>
                            </w:rPr>
                            <w:t>ALL PSYCHOTIC DISORDERS</w:t>
                          </w:r>
                        </w:p>
                      </w:txbxContent>
                    </v:textbox>
                  </v:shape>
                  <v:shape id="_x0000_s1038" type="#_x0000_t202" style="position:absolute;left:2585;top:3832;width:1824;height:428" fillcolor="#eaf1dd">
                    <v:textbox style="mso-next-textbox:#_x0000_s1038">
                      <w:txbxContent>
                        <w:p w:rsidR="00006570" w:rsidRDefault="00006570" w:rsidP="0018351F">
                          <w:r>
                            <w:t>SCHIZOPHRENIA</w:t>
                          </w:r>
                        </w:p>
                      </w:txbxContent>
                    </v:textbox>
                  </v:shape>
                  <v:shape id="_x0000_s1039" type="#_x0000_t202" style="position:absolute;left:2585;top:3277;width:4359;height:428" fillcolor="#c2d69b">
                    <v:textbox style="mso-next-textbox:#_x0000_s1039">
                      <w:txbxContent>
                        <w:p w:rsidR="00006570" w:rsidRDefault="00006570" w:rsidP="0018351F">
                          <w:r>
                            <w:t>NON-AFFECTIVE PSYCHOSES</w:t>
                          </w:r>
                        </w:p>
                      </w:txbxContent>
                    </v:textbox>
                  </v:shape>
                  <v:shape id="_x0000_s1040" type="#_x0000_t202" style="position:absolute;left:7052;top:3277;width:4626;height:428" fillcolor="#c2d69b">
                    <v:textbox style="mso-next-textbox:#_x0000_s1040">
                      <w:txbxContent>
                        <w:p w:rsidR="00006570" w:rsidRDefault="00006570" w:rsidP="0018351F">
                          <w:r>
                            <w:t>AFFECTIVE PSYCHOSES</w:t>
                          </w:r>
                        </w:p>
                      </w:txbxContent>
                    </v:textbox>
                  </v:shape>
                  <v:shape id="_x0000_s1041" type="#_x0000_t202" style="position:absolute;left:11793;top:3277;width:2651;height:983" fillcolor="#c2d69b">
                    <v:textbox style="mso-next-textbox:#_x0000_s1041">
                      <w:txbxContent>
                        <w:p w:rsidR="00006570" w:rsidRDefault="00006570" w:rsidP="0018351F">
                          <w:pPr>
                            <w:jc w:val="center"/>
                          </w:pPr>
                          <w:r>
                            <w:t>SUBSTANCE-INDUCED PSYCHOSES</w:t>
                          </w:r>
                        </w:p>
                      </w:txbxContent>
                    </v:textbox>
                  </v:shape>
                  <v:shape id="_x0000_s1042" type="#_x0000_t202" style="position:absolute;left:7052;top:3832;width:2046;height:428" fillcolor="#eaf1dd">
                    <v:textbox style="mso-next-textbox:#_x0000_s1042">
                      <w:txbxContent>
                        <w:p w:rsidR="00006570" w:rsidRDefault="00006570" w:rsidP="0018351F">
                          <w:r>
                            <w:t>BIPOLAR DISORDER</w:t>
                          </w:r>
                        </w:p>
                      </w:txbxContent>
                    </v:textbox>
                  </v:shape>
                  <v:shape id="_x0000_s1043" type="#_x0000_t202" style="position:absolute;left:9182;top:3832;width:2496;height:428" fillcolor="#eaf1dd">
                    <v:textbox style="mso-next-textbox:#_x0000_s1043">
                      <w:txbxContent>
                        <w:p w:rsidR="00006570" w:rsidRDefault="00006570" w:rsidP="0018351F">
                          <w:r>
                            <w:t>DEPRESSIVE PSYCHOSES</w:t>
                          </w:r>
                        </w:p>
                      </w:txbxContent>
                    </v:textbox>
                  </v:shape>
                  <v:shape id="_x0000_s1044" type="#_x0000_t202" style="position:absolute;left:4490;top:3832;width:2454;height:428" fillcolor="#d8d8d8">
                    <v:textbox style="mso-next-textbox:#_x0000_s1044">
                      <w:txbxContent>
                        <w:p w:rsidR="00006570" w:rsidRDefault="00006570" w:rsidP="0018351F">
                          <w:r>
                            <w:t>OTHER NA PSYCHOSES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1689;top:3435;width:765;height:1530" fillcolor="#9bbb59" strokecolor="#f2f2f2" strokeweight="3pt">
                  <v:shadow on="t" type="perspective" color="#4e6128" opacity=".5" offset="1pt" offset2="-1pt"/>
                  <v:textbox style="layout-flow:vertical;mso-layout-flow-alt:bottom-to-top;mso-next-textbox:#_x0000_s1045">
                    <w:txbxContent>
                      <w:p w:rsidR="00006570" w:rsidRPr="00420140" w:rsidRDefault="00006570" w:rsidP="0018351F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20140">
                          <w:rPr>
                            <w:b/>
                            <w:sz w:val="18"/>
                            <w:szCs w:val="18"/>
                          </w:rPr>
                          <w:t>RESEARCH THEME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6" type="#_x0000_t67" style="position:absolute;left:14550;top:3435;width:360;height:1530" strokecolor="#c2d69b" strokeweight="1pt">
                  <v:fill color2="#d6e3bc" rotate="t" focusposition="1" focussize="" type="gradient"/>
                  <v:shadow on="t" type="perspective" color="#4e6128" opacity=".5" offset="1pt" offset2="-3pt"/>
                </v:shape>
              </v:group>
              <v:group id="_x0000_s1047" style="position:absolute;left:1369;top:1774;width:12773;height:1502" coordorigin="1680,1688" coordsize="12773,1502" o:regroupid="2">
                <v:shape id="_x0000_s1048" type="#_x0000_t202" style="position:absolute;left:10036;top:2250;width:2794;height:466" fillcolor="#e5b8b7">
                  <v:textbox style="mso-next-textbox:#_x0000_s1048">
                    <w:txbxContent>
                      <w:p w:rsidR="00006570" w:rsidRDefault="00006570" w:rsidP="0018351F">
                        <w:pPr>
                          <w:jc w:val="center"/>
                        </w:pPr>
                        <w:r>
                          <w:t>PREVALENCE</w:t>
                        </w:r>
                      </w:p>
                    </w:txbxContent>
                  </v:textbox>
                </v:shape>
                <v:shape id="_x0000_s1049" type="#_x0000_t202" style="position:absolute;left:10036;top:2814;width:694;height:376" fillcolor="#f2dbdb">
                  <v:textbox style="mso-next-textbox:#_x0000_s1049">
                    <w:txbxContent>
                      <w:p w:rsidR="00006570" w:rsidRDefault="00006570" w:rsidP="0018351F">
                        <w:pPr>
                          <w:ind w:left="-142" w:right="-42"/>
                          <w:jc w:val="right"/>
                        </w:pPr>
                        <w:r>
                          <w:t>POINT</w:t>
                        </w:r>
                      </w:p>
                    </w:txbxContent>
                  </v:textbox>
                </v:shape>
                <v:shape id="_x0000_s1050" type="#_x0000_t202" style="position:absolute;left:10838;top:2814;width:830;height:376" fillcolor="#f2dbdb">
                  <v:textbox style="mso-next-textbox:#_x0000_s1050">
                    <w:txbxContent>
                      <w:p w:rsidR="00006570" w:rsidRDefault="00006570" w:rsidP="0018351F">
                        <w:pPr>
                          <w:ind w:left="-142" w:right="-42"/>
                          <w:jc w:val="right"/>
                        </w:pPr>
                        <w:r>
                          <w:t>PERIOD</w:t>
                        </w:r>
                      </w:p>
                    </w:txbxContent>
                  </v:textbox>
                </v:shape>
                <v:group id="_x0000_s1051" style="position:absolute;left:1680;top:1688;width:12773;height:1502" coordorigin="1680,1688" coordsize="12773,1502">
                  <v:group id="_x0000_s1052" style="position:absolute;left:1680;top:1688;width:12773;height:1502" coordorigin="1680,1688" coordsize="12773,1502">
                    <v:shape id="_x0000_s1053" type="#_x0000_t202" style="position:absolute;left:1680;top:1688;width:765;height:1493" fillcolor="#c0504d" strokecolor="#f2f2f2" strokeweight="3pt">
                      <v:shadow on="t" type="perspective" color="#622423" opacity=".5" offset="1pt" offset2="-1pt"/>
                      <v:textbox style="layout-flow:vertical;mso-layout-flow-alt:bottom-to-top;mso-next-textbox:#_x0000_s1053">
                        <w:txbxContent>
                          <w:p w:rsidR="00006570" w:rsidRPr="00420140" w:rsidRDefault="00006570" w:rsidP="00183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0140">
                              <w:rPr>
                                <w:b/>
                                <w:sz w:val="18"/>
                                <w:szCs w:val="18"/>
                              </w:rPr>
                              <w:t>RESEARCH STREAM</w:t>
                            </w:r>
                          </w:p>
                        </w:txbxContent>
                      </v:textbox>
                    </v:shape>
                    <v:shape id="_x0000_s1054" type="#_x0000_t202" style="position:absolute;left:2594;top:2250;width:1377;height:931" fillcolor="#e5b8b7">
                      <v:textbox style="mso-next-textbox:#_x0000_s1054">
                        <w:txbxContent>
                          <w:p w:rsidR="00006570" w:rsidRDefault="00006570" w:rsidP="0018351F">
                            <w:r>
                              <w:t>INCIDENCE</w:t>
                            </w:r>
                          </w:p>
                        </w:txbxContent>
                      </v:textbox>
                    </v:shape>
                    <v:shape id="_x0000_s1055" type="#_x0000_t202" style="position:absolute;left:4061;top:2241;width:2794;height:466" fillcolor="#e5b8b7">
                      <v:textbox style="mso-next-textbox:#_x0000_s1055">
                        <w:txbxContent>
                          <w:p w:rsidR="00006570" w:rsidRDefault="00006570" w:rsidP="0018351F">
                            <w:pPr>
                              <w:jc w:val="center"/>
                            </w:pPr>
                            <w:r>
                              <w:t>PREVALENCE</w:t>
                            </w:r>
                          </w:p>
                        </w:txbxContent>
                      </v:textbox>
                    </v:shape>
                    <v:shape id="_x0000_s1056" type="#_x0000_t202" style="position:absolute;left:2594;top:1688;width:5746;height:449" fillcolor="#c0504d">
                      <v:textbox style="mso-next-textbox:#_x0000_s1056">
                        <w:txbxContent>
                          <w:p w:rsidR="00006570" w:rsidRPr="00420140" w:rsidRDefault="00006570" w:rsidP="0018351F">
                            <w:pPr>
                              <w:rPr>
                                <w:b/>
                              </w:rPr>
                            </w:pPr>
                            <w:r w:rsidRPr="00420140">
                              <w:rPr>
                                <w:b/>
                              </w:rPr>
                              <w:t>GENERAL ADULT POPULATION</w:t>
                            </w:r>
                          </w:p>
                        </w:txbxContent>
                      </v:textbox>
                    </v:shape>
                    <v:shape id="_x0000_s1057" type="#_x0000_t202" style="position:absolute;left:8510;top:1706;width:5943;height:431" fillcolor="#c0504d">
                      <v:textbox style="mso-next-textbox:#_x0000_s1057">
                        <w:txbxContent>
                          <w:p w:rsidR="00006570" w:rsidRPr="00420140" w:rsidRDefault="00006570" w:rsidP="0018351F">
                            <w:pPr>
                              <w:rPr>
                                <w:b/>
                              </w:rPr>
                            </w:pPr>
                            <w:r w:rsidRPr="00420140">
                              <w:rPr>
                                <w:b/>
                              </w:rPr>
                              <w:t>SPECIALIST POPULATIONS</w:t>
                            </w:r>
                          </w:p>
                        </w:txbxContent>
                      </v:textbox>
                    </v:shape>
                    <v:shape id="_x0000_s1058" type="#_x0000_t202" style="position:absolute;left:6953;top:2250;width:1387;height:940" fillcolor="#e5b8b7">
                      <v:textbox style="mso-next-textbox:#_x0000_s1058">
                        <w:txbxContent>
                          <w:p w:rsidR="00006570" w:rsidRDefault="00006570" w:rsidP="0018351F">
                            <w:pPr>
                              <w:jc w:val="center"/>
                            </w:pPr>
                            <w:r>
                              <w:t>RISK FACTORS</w:t>
                            </w:r>
                          </w:p>
                        </w:txbxContent>
                      </v:textbox>
                    </v:shape>
                    <v:shape id="_x0000_s1059" type="#_x0000_t202" style="position:absolute;left:8510;top:2250;width:1377;height:923" fillcolor="#e5b8b7">
                      <v:textbox style="mso-next-textbox:#_x0000_s1059">
                        <w:txbxContent>
                          <w:p w:rsidR="00006570" w:rsidRDefault="00006570" w:rsidP="0018351F">
                            <w:r>
                              <w:t>INCIDENCE</w:t>
                            </w:r>
                          </w:p>
                        </w:txbxContent>
                      </v:textbox>
                    </v:shape>
                    <v:shape id="_x0000_s1060" type="#_x0000_t202" style="position:absolute;left:12930;top:2250;width:1523;height:931" fillcolor="#e5b8b7">
                      <v:textbox style="mso-next-textbox:#_x0000_s1060">
                        <w:txbxContent>
                          <w:p w:rsidR="00006570" w:rsidRDefault="00006570" w:rsidP="0018351F">
                            <w:pPr>
                              <w:jc w:val="center"/>
                            </w:pPr>
                            <w:r>
                              <w:t>RISK FACTORS</w:t>
                            </w:r>
                          </w:p>
                        </w:txbxContent>
                      </v:textbox>
                    </v:shape>
                    <v:shape id="_x0000_s1061" type="#_x0000_t202" style="position:absolute;left:4061;top:2805;width:694;height:376" fillcolor="#f2dbdb">
                      <v:textbox style="mso-next-textbox:#_x0000_s1061">
                        <w:txbxContent>
                          <w:p w:rsidR="00006570" w:rsidRDefault="00006570" w:rsidP="0018351F">
                            <w:pPr>
                              <w:ind w:left="-142" w:right="-42"/>
                              <w:jc w:val="right"/>
                            </w:pPr>
                            <w:r>
                              <w:t>POINT</w:t>
                            </w:r>
                          </w:p>
                        </w:txbxContent>
                      </v:textbox>
                    </v:shape>
                    <v:shape id="_x0000_s1062" type="#_x0000_t202" style="position:absolute;left:4863;top:2805;width:830;height:376" fillcolor="#f2dbdb">
                      <v:textbox style="mso-next-textbox:#_x0000_s1062">
                        <w:txbxContent>
                          <w:p w:rsidR="00006570" w:rsidRDefault="00006570" w:rsidP="0018351F">
                            <w:pPr>
                              <w:ind w:left="-142" w:right="-42"/>
                              <w:jc w:val="right"/>
                            </w:pPr>
                            <w:r>
                              <w:t>PERIOD</w:t>
                            </w:r>
                          </w:p>
                        </w:txbxContent>
                      </v:textbox>
                    </v:shape>
                  </v:group>
                  <v:shape id="_x0000_s1063" type="#_x0000_t202" style="position:absolute;left:5802;top:2805;width:1053;height:376" fillcolor="#f2dbdb">
                    <v:textbox style="mso-next-textbox:#_x0000_s1063">
                      <w:txbxContent>
                        <w:p w:rsidR="00006570" w:rsidRDefault="00006570" w:rsidP="0018351F">
                          <w:pPr>
                            <w:ind w:left="-142" w:right="-42"/>
                            <w:jc w:val="right"/>
                          </w:pPr>
                          <w:r>
                            <w:t>LIFETIME</w:t>
                          </w:r>
                        </w:p>
                      </w:txbxContent>
                    </v:textbox>
                  </v:shape>
                  <v:shape id="_x0000_s1064" type="#_x0000_t202" style="position:absolute;left:11777;top:2814;width:1053;height:376" fillcolor="#f2dbdb">
                    <v:textbox style="mso-next-textbox:#_x0000_s1064">
                      <w:txbxContent>
                        <w:p w:rsidR="00006570" w:rsidRDefault="00006570" w:rsidP="0018351F">
                          <w:pPr>
                            <w:ind w:left="-142" w:right="-42"/>
                            <w:jc w:val="right"/>
                          </w:pPr>
                          <w:r>
                            <w:t>LIFETIME</w:t>
                          </w:r>
                        </w:p>
                      </w:txbxContent>
                    </v:textbox>
                  </v:shape>
                </v:group>
              </v:group>
              <v:group id="_x0000_s1083" style="position:absolute;left:1369;top:5958;width:13257;height:2118" coordorigin="1369,5958" coordsize="13257,2118" o:regroupid="2">
                <v:shape id="_x0000_s1066" type="#_x0000_t202" style="position:absolute;left:1369;top:5958;width:765;height:2118" o:regroupid="3" fillcolor="#4f81bd" strokecolor="#f2f2f2" strokeweight="3pt">
                  <v:shadow on="t" type="perspective" color="#243f60" opacity=".5" offset="1pt" offset2="-1pt"/>
                  <v:textbox style="layout-flow:vertical;mso-layout-flow-alt:bottom-to-top;mso-next-textbox:#_x0000_s1066">
                    <w:txbxContent>
                      <w:p w:rsidR="00006570" w:rsidRPr="00420140" w:rsidRDefault="00006570" w:rsidP="0018351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20140">
                          <w:rPr>
                            <w:b/>
                            <w:sz w:val="18"/>
                            <w:szCs w:val="18"/>
                          </w:rPr>
                          <w:t>RESEARCH BLOCK</w:t>
                        </w:r>
                      </w:p>
                    </w:txbxContent>
                  </v:textbox>
                </v:shape>
                <v:shape id="_x0000_s1067" type="#_x0000_t67" style="position:absolute;left:14266;top:5958;width:360;height:2118" o:regroupid="3" strokecolor="#95b3d7" strokeweight="1pt">
                  <v:fill color2="#b8cce4" focusposition="1" focussize="" type="gradient"/>
                  <v:shadow on="t" type="perspective" color="#243f60" opacity=".5" offset="1pt" offset2="-3pt"/>
                </v:shape>
                <v:shape id="_x0000_s1068" type="#_x0000_t202" style="position:absolute;left:2309;top:5982;width:11869;height:457" o:regroupid="3" fillcolor="#4f81bd">
                  <v:textbox style="mso-next-textbox:#_x0000_s1068">
                    <w:txbxContent>
                      <w:p w:rsidR="00006570" w:rsidRPr="00420140" w:rsidRDefault="00006570" w:rsidP="0018351F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420140">
                          <w:rPr>
                            <w:b/>
                          </w:rPr>
                          <w:t>OVERALL RATES</w:t>
                        </w:r>
                      </w:p>
                    </w:txbxContent>
                  </v:textbox>
                </v:shape>
                <v:shape id="_x0000_s1069" type="#_x0000_t202" style="position:absolute;left:2309;top:6533;width:11877;height:409" o:regroupid="3" fillcolor="#8db3e2">
                  <v:textbox style="mso-next-textbox:#_x0000_s1069">
                    <w:txbxContent>
                      <w:p w:rsidR="00006570" w:rsidRDefault="00006570" w:rsidP="0018351F">
                        <w:pPr>
                          <w:spacing w:line="240" w:lineRule="auto"/>
                        </w:pPr>
                        <w:r>
                          <w:t>TIME</w:t>
                        </w:r>
                      </w:p>
                    </w:txbxContent>
                  </v:textbox>
                </v:shape>
                <v:shape id="_x0000_s1070" type="#_x0000_t202" style="position:absolute;left:2285;top:7026;width:741;height:452" o:regroupid="3" fillcolor="#8db3e2">
                  <v:textbox style="mso-next-textbox:#_x0000_s1070">
                    <w:txbxContent>
                      <w:p w:rsidR="00006570" w:rsidRDefault="00006570" w:rsidP="0018351F">
                        <w:r>
                          <w:t>AGE</w:t>
                        </w:r>
                      </w:p>
                    </w:txbxContent>
                  </v:textbox>
                </v:shape>
                <v:shape id="_x0000_s1071" type="#_x0000_t202" style="position:absolute;left:3147;top:7026;width:766;height:444" o:regroupid="3" fillcolor="#8db3e2">
                  <v:textbox style="mso-next-textbox:#_x0000_s1071">
                    <w:txbxContent>
                      <w:p w:rsidR="00006570" w:rsidRDefault="00006570" w:rsidP="0018351F">
                        <w:r>
                          <w:t>SEX</w:t>
                        </w:r>
                      </w:p>
                    </w:txbxContent>
                  </v:textbox>
                </v:shape>
                <v:shape id="_x0000_s1072" type="#_x0000_t202" style="position:absolute;left:4003;top:7026;width:1365;height:444" o:regroupid="3" fillcolor="#8db3e2">
                  <v:textbox style="mso-next-textbox:#_x0000_s1072">
                    <w:txbxContent>
                      <w:p w:rsidR="00006570" w:rsidRDefault="00006570" w:rsidP="0018351F">
                        <w:r>
                          <w:t>ETHNICITY</w:t>
                        </w:r>
                      </w:p>
                    </w:txbxContent>
                  </v:textbox>
                </v:shape>
                <v:shape id="_x0000_s1073" type="#_x0000_t202" style="position:absolute;left:5491;top:7026;width:3053;height:444" o:regroupid="3" fillcolor="#8db3e2">
                  <v:textbox style="mso-next-textbox:#_x0000_s1073">
                    <w:txbxContent>
                      <w:p w:rsidR="00006570" w:rsidRDefault="00006570" w:rsidP="0018351F">
                        <w:r>
                          <w:t>COUNTRY OF BIRTH</w:t>
                        </w:r>
                      </w:p>
                    </w:txbxContent>
                  </v:textbox>
                </v:shape>
                <v:shape id="_x0000_s1074" type="#_x0000_t202" style="position:absolute;left:8692;top:7034;width:5469;height:436" o:regroupid="3" fillcolor="#8db3e2">
                  <v:textbox style="mso-next-textbox:#_x0000_s1074">
                    <w:txbxContent>
                      <w:p w:rsidR="00006570" w:rsidRDefault="00006570" w:rsidP="0018351F">
                        <w:pPr>
                          <w:spacing w:line="240" w:lineRule="auto"/>
                        </w:pPr>
                        <w:r>
                          <w:t>GEOGRAPHY</w:t>
                        </w:r>
                      </w:p>
                    </w:txbxContent>
                  </v:textbox>
                </v:shape>
                <v:shape id="_x0000_s1075" type="#_x0000_t202" style="position:absolute;left:8681;top:7616;width:1162;height:444" o:regroupid="3" fillcolor="#c6d9f1">
                  <v:textbox style="mso-next-textbox:#_x0000_s1075">
                    <w:txbxContent>
                      <w:p w:rsidR="00006570" w:rsidRDefault="00006570" w:rsidP="0018351F">
                        <w:pPr>
                          <w:ind w:left="-142" w:right="-233"/>
                        </w:pPr>
                        <w:r>
                          <w:t>URBANICITY</w:t>
                        </w:r>
                      </w:p>
                    </w:txbxContent>
                  </v:textbox>
                </v:shape>
                <v:shape id="_x0000_s1076" type="#_x0000_t202" style="position:absolute;left:9968;top:7616;width:1374;height:444" o:regroupid="3" fillcolor="#c6d9f1">
                  <v:textbox style="mso-next-textbox:#_x0000_s1076">
                    <w:txbxContent>
                      <w:p w:rsidR="00006570" w:rsidRDefault="00006570" w:rsidP="0018351F">
                        <w:pPr>
                          <w:ind w:left="-142" w:right="-128"/>
                          <w:jc w:val="center"/>
                        </w:pPr>
                        <w:r>
                          <w:t>PLACE</w:t>
                        </w:r>
                      </w:p>
                    </w:txbxContent>
                  </v:textbox>
                </v:shape>
                <v:shape id="_x0000_s1077" type="#_x0000_t202" style="position:absolute;left:11455;top:7616;width:1781;height:444" o:regroupid="3" fillcolor="#c6d9f1">
                  <v:textbox style="mso-next-textbox:#_x0000_s1077">
                    <w:txbxContent>
                      <w:p w:rsidR="00006570" w:rsidRDefault="00006570" w:rsidP="0018351F">
                        <w:r>
                          <w:t>ETHNIC DENSITY</w:t>
                        </w:r>
                      </w:p>
                    </w:txbxContent>
                  </v:textbox>
                </v:shape>
                <v:shape id="_x0000_s1078" type="#_x0000_t202" style="position:absolute;left:2274;top:7616;width:1628;height:460" o:regroupid="3" fillcolor="#c6d9f1">
                  <v:textbox style="mso-next-textbox:#_x0000_s1078">
                    <w:txbxContent>
                      <w:p w:rsidR="00006570" w:rsidRDefault="00006570" w:rsidP="0018351F">
                        <w:pPr>
                          <w:jc w:val="center"/>
                        </w:pPr>
                        <w:r>
                          <w:t>AGE vs. SEX</w:t>
                        </w:r>
                      </w:p>
                    </w:txbxContent>
                  </v:textbox>
                </v:shape>
                <v:shape id="_x0000_s1079" type="#_x0000_t202" style="position:absolute;left:13333;top:7616;width:809;height:436" o:regroupid="3" fillcolor="#d8d8d8">
                  <v:textbox style="mso-next-textbox:#_x0000_s1079">
                    <w:txbxContent>
                      <w:p w:rsidR="00006570" w:rsidRDefault="00006570" w:rsidP="0018351F">
                        <w:pPr>
                          <w:ind w:left="-142" w:right="-64"/>
                          <w:jc w:val="right"/>
                        </w:pPr>
                        <w:r>
                          <w:t>OTHER</w:t>
                        </w:r>
                      </w:p>
                    </w:txbxContent>
                  </v:textbox>
                </v:shape>
              </v:group>
              <v:group id="_x0000_s1082" style="position:absolute;left:2258;top:1774;width:13821;height:7624" coordorigin="2258,1774" coordsize="13821,7624" o:regroupid="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2258;top:8730;width:12341;height:15" o:connectortype="straight" o:regroupid="4" strokeweight="2.5pt">
                  <v:stroke endarrow="block"/>
                  <v:shadow color="#868686"/>
                </v:shape>
                <v:shape id="_x0000_s1031" type="#_x0000_t32" style="position:absolute;left:15364;top:1774;width:1;height:6794" o:connectortype="straight" o:regroupid="4" strokeweight="2.5pt">
                  <v:stroke endarrow="block"/>
                  <v:shadow color="#868686"/>
                </v:shape>
                <v:shape id="_x0000_s1032" type="#_x0000_t202" style="position:absolute;left:14731;top:1774;width:435;height:6659" o:regroupid="4" fillcolor="none" stroked="f" strokecolor="#4f81bd">
                  <v:fill color2="fill darken(118)" rotate="t" method="linear sigma" focus="100%" type="gradient"/>
                  <v:textbox style="layout-flow:vertical;mso-layout-flow-alt:bottom-to-top;mso-next-textbox:#_x0000_s1032" inset="1.5mm,.3mm,1.5mm,.3mm">
                    <w:txbxContent>
                      <w:p w:rsidR="00006570" w:rsidRPr="003D304C" w:rsidRDefault="00006570" w:rsidP="0018351F">
                        <w:pPr>
                          <w:jc w:val="center"/>
                        </w:pPr>
                        <w:r w:rsidRPr="003D304C">
                          <w:t>Decreasing size of expected yield</w:t>
                        </w:r>
                        <w:r w:rsidRPr="003D304C">
                          <w:rPr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_x0000_s1033" type="#_x0000_t202" style="position:absolute;left:12493;top:8745;width:2465;height:653" o:regroupid="4" filled="f" stroked="f">
                  <v:textbox style="mso-next-textbox:#_x0000_s1033;mso-fit-shape-to-text:t">
                    <w:txbxContent>
                      <w:p w:rsidR="00006570" w:rsidRPr="00A5669F" w:rsidRDefault="00006570" w:rsidP="0018351F">
                        <w:pPr>
                          <w:rPr>
                            <w:i/>
                          </w:rPr>
                        </w:pPr>
                        <w:r w:rsidRPr="00A5669F">
                          <w:rPr>
                            <w:i/>
                          </w:rPr>
                          <w:t>Degree of specialisation</w:t>
                        </w:r>
                      </w:p>
                    </w:txbxContent>
                  </v:textbox>
                </v:shape>
                <v:shape id="_x0000_s1034" type="#_x0000_t202" style="position:absolute;left:15274;top:6633;width:805;height:1695" o:regroupid="4" filled="f" stroked="f">
                  <v:textbox style="layout-flow:vertical;mso-layout-flow-alt:bottom-to-top;mso-next-textbox:#_x0000_s1034;mso-fit-shape-to-text:t">
                    <w:txbxContent>
                      <w:p w:rsidR="00006570" w:rsidRPr="00A5669F" w:rsidRDefault="00006570" w:rsidP="0018351F">
                        <w:pPr>
                          <w:rPr>
                            <w:i/>
                          </w:rPr>
                        </w:pPr>
                        <w:r w:rsidRPr="00A5669F">
                          <w:rPr>
                            <w:i/>
                          </w:rPr>
                          <w:t xml:space="preserve">Degree of </w:t>
                        </w:r>
                        <w:r>
                          <w:rPr>
                            <w:i/>
                          </w:rPr>
                          <w:t>focus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  <w:lang w:eastAsia="en-GB"/>
        </w:rPr>
        <w:pict>
          <v:shape id="_x0000_s1026" type="#_x0000_t67" style="position:absolute;left:0;text-align:left;margin-left:640.8pt;margin-top:-4.7pt;width:18pt;height:73.75pt;z-index:251660288;mso-position-horizontal-relative:text;mso-position-vertical-relative:text" fillcolor="#d99594" strokecolor="#d99594" strokeweight="1pt">
            <v:fill rotate="t" focusposition="1" focussize="" focus="100%" type="gradient"/>
            <v:shadow on="t" type="perspective" color="#4e6128" opacity=".5" offset="1pt" offset2="-3pt"/>
          </v:shape>
        </w:pict>
      </w: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  <w:r>
        <w:rPr>
          <w:noProof/>
          <w:lang w:eastAsia="en-GB"/>
        </w:rPr>
        <w:drawing>
          <wp:anchor distT="0" distB="0" distL="163068" distR="114300" simplePos="0" relativeHeight="251663360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191135</wp:posOffset>
            </wp:positionV>
            <wp:extent cx="7481570" cy="233680"/>
            <wp:effectExtent l="0" t="0" r="24130" b="0"/>
            <wp:wrapTight wrapText="bothSides">
              <wp:wrapPolygon edited="0">
                <wp:start x="165" y="0"/>
                <wp:lineTo x="165" y="21130"/>
                <wp:lineTo x="21450" y="21130"/>
                <wp:lineTo x="21670" y="12326"/>
                <wp:lineTo x="21670" y="8804"/>
                <wp:lineTo x="21450" y="0"/>
                <wp:lineTo x="165" y="0"/>
              </wp:wrapPolygon>
            </wp:wrapTight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</w:p>
    <w:p w:rsidR="0018351F" w:rsidRPr="00980374" w:rsidRDefault="0018351F" w:rsidP="0018351F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92075</wp:posOffset>
            </wp:positionV>
            <wp:extent cx="7552055" cy="233680"/>
            <wp:effectExtent l="38100" t="0" r="10795" b="0"/>
            <wp:wrapTight wrapText="bothSides">
              <wp:wrapPolygon edited="0">
                <wp:start x="-109" y="0"/>
                <wp:lineTo x="-109" y="21130"/>
                <wp:lineTo x="21413" y="21130"/>
                <wp:lineTo x="21631" y="12326"/>
                <wp:lineTo x="21631" y="8804"/>
                <wp:lineTo x="21413" y="0"/>
                <wp:lineTo x="-109" y="0"/>
              </wp:wrapPolygon>
            </wp:wrapTight>
            <wp:docPr id="57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18351F" w:rsidRPr="00980374" w:rsidRDefault="0018351F" w:rsidP="0018351F">
      <w:pPr>
        <w:jc w:val="both"/>
      </w:pPr>
    </w:p>
    <w:p w:rsidR="0018351F" w:rsidRPr="00980374" w:rsidRDefault="0018351F" w:rsidP="00D74B43">
      <w:pPr>
        <w:spacing w:after="0" w:line="240" w:lineRule="auto"/>
        <w:jc w:val="both"/>
        <w:rPr>
          <w:sz w:val="18"/>
          <w:szCs w:val="18"/>
        </w:rPr>
      </w:pPr>
      <w:r w:rsidRPr="00980374">
        <w:rPr>
          <w:b/>
          <w:i/>
          <w:color w:val="C0504D"/>
          <w:sz w:val="18"/>
          <w:szCs w:val="18"/>
        </w:rPr>
        <w:t>Research stream</w:t>
      </w:r>
      <w:r w:rsidRPr="00980374">
        <w:rPr>
          <w:b/>
          <w:color w:val="C0504D"/>
          <w:sz w:val="18"/>
          <w:szCs w:val="18"/>
        </w:rPr>
        <w:t>:</w:t>
      </w:r>
      <w:r w:rsidRPr="00980374">
        <w:rPr>
          <w:sz w:val="18"/>
          <w:szCs w:val="18"/>
        </w:rPr>
        <w:t xml:space="preserve"> broad population group </w:t>
      </w:r>
      <w:r w:rsidR="00E722E9">
        <w:rPr>
          <w:sz w:val="18"/>
          <w:szCs w:val="18"/>
        </w:rPr>
        <w:t>covered by our series of systematic reviews</w:t>
      </w:r>
      <w:r w:rsidR="00E722E9" w:rsidRPr="00980374">
        <w:rPr>
          <w:sz w:val="18"/>
          <w:szCs w:val="18"/>
        </w:rPr>
        <w:t>.</w:t>
      </w:r>
      <w:r w:rsidR="00E722E9">
        <w:rPr>
          <w:sz w:val="18"/>
          <w:szCs w:val="18"/>
        </w:rPr>
        <w:t xml:space="preserve"> Here, we focus on incidence studies in the general adult population.</w:t>
      </w:r>
    </w:p>
    <w:p w:rsidR="0018351F" w:rsidRPr="00980374" w:rsidRDefault="0018351F" w:rsidP="00D74B43">
      <w:pPr>
        <w:spacing w:after="0" w:line="240" w:lineRule="auto"/>
        <w:jc w:val="both"/>
        <w:rPr>
          <w:sz w:val="18"/>
          <w:szCs w:val="18"/>
        </w:rPr>
      </w:pPr>
      <w:r w:rsidRPr="00980374">
        <w:rPr>
          <w:b/>
          <w:i/>
          <w:color w:val="9BBB59"/>
          <w:sz w:val="18"/>
          <w:szCs w:val="18"/>
        </w:rPr>
        <w:t>Research theme</w:t>
      </w:r>
      <w:r w:rsidRPr="00980374">
        <w:rPr>
          <w:b/>
          <w:color w:val="9BBB59"/>
          <w:sz w:val="18"/>
          <w:szCs w:val="18"/>
        </w:rPr>
        <w:t>:</w:t>
      </w:r>
      <w:r w:rsidRPr="00980374">
        <w:rPr>
          <w:sz w:val="18"/>
          <w:szCs w:val="18"/>
        </w:rPr>
        <w:t xml:space="preserve"> diagnostic outcome under consideration</w:t>
      </w:r>
      <w:r w:rsidR="00E722E9">
        <w:rPr>
          <w:sz w:val="18"/>
          <w:szCs w:val="18"/>
        </w:rPr>
        <w:t xml:space="preserve"> (see </w:t>
      </w:r>
      <w:r w:rsidR="00D21AE6">
        <w:rPr>
          <w:sz w:val="18"/>
          <w:szCs w:val="18"/>
        </w:rPr>
        <w:t>“Diagnostic Outcomes” in Methods</w:t>
      </w:r>
      <w:r w:rsidR="00E722E9">
        <w:rPr>
          <w:sz w:val="18"/>
          <w:szCs w:val="18"/>
        </w:rPr>
        <w:t>)</w:t>
      </w:r>
      <w:r w:rsidRPr="00980374">
        <w:rPr>
          <w:sz w:val="18"/>
          <w:szCs w:val="18"/>
        </w:rPr>
        <w:t>. Other non-affective [NA] psychoses are not included as a separate category of analysis.</w:t>
      </w:r>
    </w:p>
    <w:p w:rsidR="0018351F" w:rsidRPr="00980374" w:rsidRDefault="0018351F" w:rsidP="00D74B43">
      <w:pPr>
        <w:spacing w:after="0" w:line="240" w:lineRule="auto"/>
        <w:jc w:val="both"/>
        <w:rPr>
          <w:sz w:val="18"/>
          <w:szCs w:val="18"/>
        </w:rPr>
      </w:pPr>
      <w:r w:rsidRPr="00980374">
        <w:rPr>
          <w:b/>
          <w:i/>
          <w:color w:val="4F81BD"/>
          <w:sz w:val="18"/>
          <w:szCs w:val="18"/>
        </w:rPr>
        <w:t>Research block</w:t>
      </w:r>
      <w:r w:rsidRPr="00980374">
        <w:rPr>
          <w:b/>
          <w:color w:val="4F81BD"/>
          <w:sz w:val="18"/>
          <w:szCs w:val="18"/>
        </w:rPr>
        <w:t>:</w:t>
      </w:r>
      <w:r w:rsidRPr="00980374">
        <w:rPr>
          <w:sz w:val="18"/>
          <w:szCs w:val="18"/>
        </w:rPr>
        <w:t xml:space="preserve"> The main “risk factors” by which research will be systematically reviewed. “Other” risk factors are included in review but too heterogeneous to list all here.</w:t>
      </w:r>
    </w:p>
    <w:p w:rsidR="00EA415A" w:rsidRPr="00431E14" w:rsidRDefault="0018351F" w:rsidP="00BE15A7">
      <w:pPr>
        <w:spacing w:after="0" w:line="240" w:lineRule="auto"/>
        <w:jc w:val="both"/>
      </w:pPr>
      <w:r w:rsidRPr="00980374">
        <w:rPr>
          <w:sz w:val="18"/>
          <w:szCs w:val="18"/>
          <w:vertAlign w:val="superscript"/>
        </w:rPr>
        <w:t>1</w:t>
      </w:r>
      <w:r w:rsidRPr="00980374">
        <w:rPr>
          <w:sz w:val="18"/>
          <w:szCs w:val="18"/>
        </w:rPr>
        <w:t xml:space="preserve">Study filters will be applied to research stream, theme &amp; block permutations relevant to specific review aims &amp; objectives. As the level of specialisation (right to left) and focus (top to bottom) increases we expect the yield of studies relevant to the systematic review objective under analysis to decrease. </w:t>
      </w:r>
    </w:p>
    <w:sectPr w:rsidR="00EA415A" w:rsidRPr="00431E14" w:rsidSect="008A2B08">
      <w:footnotePr>
        <w:numFmt w:val="lowerRoman"/>
      </w:footnotePr>
      <w:pgSz w:w="15840" w:h="12240" w:orient="landscape"/>
      <w:pgMar w:top="180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AC" w:rsidRDefault="007068AC" w:rsidP="004F3435">
      <w:pPr>
        <w:spacing w:after="0" w:line="240" w:lineRule="auto"/>
      </w:pPr>
      <w:r>
        <w:separator/>
      </w:r>
    </w:p>
  </w:endnote>
  <w:endnote w:type="continuationSeparator" w:id="0">
    <w:p w:rsidR="007068AC" w:rsidRDefault="007068AC" w:rsidP="004F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AC" w:rsidRDefault="007068AC" w:rsidP="004F3435">
      <w:pPr>
        <w:spacing w:after="0" w:line="240" w:lineRule="auto"/>
      </w:pPr>
      <w:r>
        <w:separator/>
      </w:r>
    </w:p>
  </w:footnote>
  <w:footnote w:type="continuationSeparator" w:id="0">
    <w:p w:rsidR="007068AC" w:rsidRDefault="007068AC" w:rsidP="004F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016C"/>
    <w:multiLevelType w:val="multilevel"/>
    <w:tmpl w:val="4250456A"/>
    <w:lvl w:ilvl="0">
      <w:start w:val="1"/>
      <w:numFmt w:val="decimal"/>
      <w:pStyle w:val="Heading1"/>
      <w:lvlText w:val="%1.0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EA415A"/>
    <w:rsid w:val="00006570"/>
    <w:rsid w:val="000125FE"/>
    <w:rsid w:val="00077423"/>
    <w:rsid w:val="000B39CE"/>
    <w:rsid w:val="000D22CC"/>
    <w:rsid w:val="00105249"/>
    <w:rsid w:val="00122A83"/>
    <w:rsid w:val="0013188B"/>
    <w:rsid w:val="0018351F"/>
    <w:rsid w:val="001948F2"/>
    <w:rsid w:val="001958B5"/>
    <w:rsid w:val="001B1F84"/>
    <w:rsid w:val="00214B9D"/>
    <w:rsid w:val="00254109"/>
    <w:rsid w:val="00270BBC"/>
    <w:rsid w:val="002904AE"/>
    <w:rsid w:val="002B670B"/>
    <w:rsid w:val="002B7106"/>
    <w:rsid w:val="002D5247"/>
    <w:rsid w:val="002F42FC"/>
    <w:rsid w:val="0032767E"/>
    <w:rsid w:val="0038690D"/>
    <w:rsid w:val="00431E14"/>
    <w:rsid w:val="004F3435"/>
    <w:rsid w:val="005029F3"/>
    <w:rsid w:val="00543F70"/>
    <w:rsid w:val="00560310"/>
    <w:rsid w:val="00572F86"/>
    <w:rsid w:val="00581932"/>
    <w:rsid w:val="00584303"/>
    <w:rsid w:val="005921E5"/>
    <w:rsid w:val="005979BA"/>
    <w:rsid w:val="005A1108"/>
    <w:rsid w:val="005A3697"/>
    <w:rsid w:val="005A4ADF"/>
    <w:rsid w:val="005E6316"/>
    <w:rsid w:val="00615C8D"/>
    <w:rsid w:val="006356D0"/>
    <w:rsid w:val="0068286E"/>
    <w:rsid w:val="00686BBA"/>
    <w:rsid w:val="00690EDE"/>
    <w:rsid w:val="006957B1"/>
    <w:rsid w:val="006E4334"/>
    <w:rsid w:val="00701EFC"/>
    <w:rsid w:val="007068AC"/>
    <w:rsid w:val="00742A7A"/>
    <w:rsid w:val="00761EA4"/>
    <w:rsid w:val="00762314"/>
    <w:rsid w:val="007813CB"/>
    <w:rsid w:val="00782AA3"/>
    <w:rsid w:val="007E616C"/>
    <w:rsid w:val="007F0F0F"/>
    <w:rsid w:val="00874D02"/>
    <w:rsid w:val="008A2B08"/>
    <w:rsid w:val="008C551C"/>
    <w:rsid w:val="008D354B"/>
    <w:rsid w:val="008D4F88"/>
    <w:rsid w:val="00907283"/>
    <w:rsid w:val="00931405"/>
    <w:rsid w:val="00976007"/>
    <w:rsid w:val="009779C5"/>
    <w:rsid w:val="00981DA2"/>
    <w:rsid w:val="00986A2A"/>
    <w:rsid w:val="009A3E19"/>
    <w:rsid w:val="009B50A1"/>
    <w:rsid w:val="009C320D"/>
    <w:rsid w:val="009F58C7"/>
    <w:rsid w:val="00A478D1"/>
    <w:rsid w:val="00A544A5"/>
    <w:rsid w:val="00A56E17"/>
    <w:rsid w:val="00A72EB0"/>
    <w:rsid w:val="00AF66B6"/>
    <w:rsid w:val="00B26919"/>
    <w:rsid w:val="00BD02E5"/>
    <w:rsid w:val="00BE15A7"/>
    <w:rsid w:val="00BE58C9"/>
    <w:rsid w:val="00C039C9"/>
    <w:rsid w:val="00C13440"/>
    <w:rsid w:val="00C35809"/>
    <w:rsid w:val="00C427AB"/>
    <w:rsid w:val="00C73DD7"/>
    <w:rsid w:val="00CA3DEA"/>
    <w:rsid w:val="00CB74F2"/>
    <w:rsid w:val="00D173C4"/>
    <w:rsid w:val="00D21AE6"/>
    <w:rsid w:val="00D25E5A"/>
    <w:rsid w:val="00D31CDC"/>
    <w:rsid w:val="00D3496C"/>
    <w:rsid w:val="00D74B43"/>
    <w:rsid w:val="00DA33B7"/>
    <w:rsid w:val="00DB5ED2"/>
    <w:rsid w:val="00DD7C6F"/>
    <w:rsid w:val="00DF3BE6"/>
    <w:rsid w:val="00E25047"/>
    <w:rsid w:val="00E30E28"/>
    <w:rsid w:val="00E31685"/>
    <w:rsid w:val="00E3335F"/>
    <w:rsid w:val="00E44142"/>
    <w:rsid w:val="00E6373D"/>
    <w:rsid w:val="00E722E9"/>
    <w:rsid w:val="00E77BD0"/>
    <w:rsid w:val="00EA415A"/>
    <w:rsid w:val="00EB3BD5"/>
    <w:rsid w:val="00EF22B8"/>
    <w:rsid w:val="00F12C2A"/>
    <w:rsid w:val="00F37B4D"/>
    <w:rsid w:val="00F53BAD"/>
    <w:rsid w:val="00F716A3"/>
    <w:rsid w:val="00F85E8E"/>
    <w:rsid w:val="00FC0353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03"/>
  </w:style>
  <w:style w:type="paragraph" w:styleId="Heading1">
    <w:name w:val="heading 1"/>
    <w:basedOn w:val="Normal"/>
    <w:next w:val="Normal"/>
    <w:link w:val="Heading1Char"/>
    <w:uiPriority w:val="99"/>
    <w:qFormat/>
    <w:rsid w:val="00761EA4"/>
    <w:pPr>
      <w:numPr>
        <w:numId w:val="1"/>
      </w:numPr>
      <w:shd w:val="clear" w:color="auto" w:fill="BFBFBF"/>
      <w:spacing w:after="0" w:line="360" w:lineRule="auto"/>
      <w:jc w:val="both"/>
      <w:outlineLvl w:val="0"/>
    </w:pPr>
    <w:rPr>
      <w:rFonts w:ascii="Calibri" w:eastAsia="Cambria" w:hAnsi="Calibri" w:cs="Times New Roman"/>
      <w:b/>
      <w:caps/>
      <w:sz w:val="28"/>
      <w:szCs w:val="28"/>
      <w:lang w:val="en-US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761EA4"/>
    <w:pPr>
      <w:numPr>
        <w:ilvl w:val="1"/>
        <w:numId w:val="1"/>
      </w:numPr>
      <w:ind w:left="426" w:hanging="426"/>
      <w:jc w:val="both"/>
      <w:outlineLvl w:val="1"/>
    </w:pPr>
    <w:rPr>
      <w:rFonts w:ascii="Calibri" w:eastAsia="Times New Roman" w:hAnsi="Calibri" w:cs="Times New Roman"/>
      <w:b/>
      <w:lang w:val="en-US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761EA4"/>
    <w:pPr>
      <w:numPr>
        <w:ilvl w:val="2"/>
        <w:numId w:val="1"/>
      </w:numPr>
      <w:ind w:left="1134" w:hanging="708"/>
      <w:jc w:val="both"/>
      <w:outlineLvl w:val="2"/>
    </w:pPr>
    <w:rPr>
      <w:rFonts w:ascii="Calibri" w:eastAsia="Times New Roman" w:hAnsi="Calibri" w:cs="Times New Roman"/>
      <w:b/>
      <w:lang w:val="en-US"/>
    </w:rPr>
  </w:style>
  <w:style w:type="paragraph" w:styleId="Heading4">
    <w:name w:val="heading 4"/>
    <w:basedOn w:val="ListParagraph"/>
    <w:next w:val="Normal"/>
    <w:link w:val="Heading4Char"/>
    <w:uiPriority w:val="99"/>
    <w:qFormat/>
    <w:rsid w:val="00761EA4"/>
    <w:pPr>
      <w:numPr>
        <w:ilvl w:val="3"/>
        <w:numId w:val="1"/>
      </w:numPr>
      <w:ind w:left="1985" w:hanging="851"/>
      <w:jc w:val="both"/>
      <w:outlineLvl w:val="3"/>
    </w:pPr>
    <w:rPr>
      <w:rFonts w:ascii="Calibri" w:eastAsia="Times New Roman" w:hAnsi="Calibri" w:cs="Times New Roman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BodyText"/>
    <w:uiPriority w:val="99"/>
    <w:rsid w:val="00EA415A"/>
    <w:pPr>
      <w:spacing w:line="360" w:lineRule="auto"/>
    </w:pPr>
    <w:rPr>
      <w:rFonts w:ascii="Calibri" w:eastAsia="Cambria" w:hAnsi="Calibri" w:cs="Times New Roman"/>
      <w:b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A41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415A"/>
  </w:style>
  <w:style w:type="paragraph" w:styleId="DocumentMap">
    <w:name w:val="Document Map"/>
    <w:basedOn w:val="Normal"/>
    <w:link w:val="DocumentMapChar"/>
    <w:uiPriority w:val="99"/>
    <w:semiHidden/>
    <w:unhideWhenUsed/>
    <w:rsid w:val="008D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4F8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435"/>
  </w:style>
  <w:style w:type="paragraph" w:styleId="Footer">
    <w:name w:val="footer"/>
    <w:basedOn w:val="Normal"/>
    <w:link w:val="FooterChar"/>
    <w:uiPriority w:val="99"/>
    <w:semiHidden/>
    <w:unhideWhenUsed/>
    <w:rsid w:val="004F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435"/>
  </w:style>
  <w:style w:type="character" w:styleId="CommentReference">
    <w:name w:val="annotation reference"/>
    <w:basedOn w:val="DefaultParagraphFont"/>
    <w:uiPriority w:val="99"/>
    <w:semiHidden/>
    <w:unhideWhenUsed/>
    <w:rsid w:val="005E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3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761EA4"/>
    <w:rPr>
      <w:rFonts w:ascii="Calibri" w:eastAsia="Cambria" w:hAnsi="Calibri" w:cs="Times New Roman"/>
      <w:b/>
      <w:caps/>
      <w:sz w:val="28"/>
      <w:szCs w:val="28"/>
      <w:shd w:val="clear" w:color="auto" w:fill="BFBFB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61EA4"/>
    <w:rPr>
      <w:rFonts w:ascii="Calibri" w:eastAsia="Times New Roman" w:hAnsi="Calibri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61EA4"/>
    <w:rPr>
      <w:rFonts w:ascii="Calibri" w:eastAsia="Times New Roman" w:hAnsi="Calibri" w:cs="Times New Roman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761EA4"/>
    <w:rPr>
      <w:rFonts w:ascii="Calibri" w:eastAsia="Times New Roman" w:hAnsi="Calibri" w:cs="Times New Roman"/>
      <w:i/>
      <w:lang w:val="en-US"/>
    </w:rPr>
  </w:style>
  <w:style w:type="paragraph" w:customStyle="1" w:styleId="Default">
    <w:name w:val="Default"/>
    <w:rsid w:val="00761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rsid w:val="00761EA4"/>
    <w:rPr>
      <w:rFonts w:ascii="Calibri" w:hAnsi="Calibri" w:cs="Times New Roman"/>
      <w:color w:val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76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850E43-12A4-47E3-9498-3803615764E8}" type="doc">
      <dgm:prSet loTypeId="urn:microsoft.com/office/officeart/2005/8/layout/chevron1" loCatId="process" qsTypeId="urn:microsoft.com/office/officeart/2005/8/quickstyle/simple1#1" qsCatId="simple" csTypeId="urn:microsoft.com/office/officeart/2005/8/colors/accent3_5" csCatId="accent3" phldr="1"/>
      <dgm:spPr/>
    </dgm:pt>
    <dgm:pt modelId="{6AA4539D-77B0-46C1-90BB-BE34551C627B}">
      <dgm:prSet phldrT="[Text]" custT="1"/>
      <dgm:spPr/>
      <dgm:t>
        <a:bodyPr/>
        <a:lstStyle/>
        <a:p>
          <a:r>
            <a:rPr lang="en-GB" sz="1100"/>
            <a:t>Decreasing size of expected study yield</a:t>
          </a:r>
          <a:r>
            <a:rPr lang="en-GB" sz="1100" baseline="30000"/>
            <a:t>1</a:t>
          </a:r>
        </a:p>
      </dgm:t>
    </dgm:pt>
    <dgm:pt modelId="{CDB18104-AB02-46B3-B050-6B5C6932234D}" type="parTrans" cxnId="{E13714C4-558E-460A-A3ED-D94ACFD9D44E}">
      <dgm:prSet/>
      <dgm:spPr/>
      <dgm:t>
        <a:bodyPr/>
        <a:lstStyle/>
        <a:p>
          <a:endParaRPr lang="en-GB"/>
        </a:p>
      </dgm:t>
    </dgm:pt>
    <dgm:pt modelId="{72FF32D2-0C94-4057-A7C3-4FC9B7ED2975}" type="sibTrans" cxnId="{E13714C4-558E-460A-A3ED-D94ACFD9D44E}">
      <dgm:prSet/>
      <dgm:spPr/>
      <dgm:t>
        <a:bodyPr/>
        <a:lstStyle/>
        <a:p>
          <a:endParaRPr lang="en-GB"/>
        </a:p>
      </dgm:t>
    </dgm:pt>
    <dgm:pt modelId="{3F690A40-CE7B-4038-B0DF-AD136619B593}">
      <dgm:prSet phldrT="[Text]"/>
      <dgm:spPr/>
      <dgm:t>
        <a:bodyPr/>
        <a:lstStyle/>
        <a:p>
          <a:endParaRPr lang="en-GB"/>
        </a:p>
      </dgm:t>
    </dgm:pt>
    <dgm:pt modelId="{58E5160E-D456-48EE-8D22-58CAEB2B26D4}" type="parTrans" cxnId="{D8ED189B-7E69-460E-BD9C-43FB39E02C9D}">
      <dgm:prSet/>
      <dgm:spPr/>
      <dgm:t>
        <a:bodyPr/>
        <a:lstStyle/>
        <a:p>
          <a:endParaRPr lang="en-GB"/>
        </a:p>
      </dgm:t>
    </dgm:pt>
    <dgm:pt modelId="{5182CA90-B469-4791-8040-91F5D74A6EC6}" type="sibTrans" cxnId="{D8ED189B-7E69-460E-BD9C-43FB39E02C9D}">
      <dgm:prSet/>
      <dgm:spPr/>
      <dgm:t>
        <a:bodyPr/>
        <a:lstStyle/>
        <a:p>
          <a:endParaRPr lang="en-GB"/>
        </a:p>
      </dgm:t>
    </dgm:pt>
    <dgm:pt modelId="{1A9E9D5E-77FE-4916-B2AF-07141E49C9E6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BA6002F4-88B6-4FA1-BB93-EF15D8A87AEA}" type="sibTrans" cxnId="{60218D6A-D799-46FF-8E98-1494449686A3}">
      <dgm:prSet/>
      <dgm:spPr/>
      <dgm:t>
        <a:bodyPr/>
        <a:lstStyle/>
        <a:p>
          <a:endParaRPr lang="en-GB"/>
        </a:p>
      </dgm:t>
    </dgm:pt>
    <dgm:pt modelId="{B4993821-BD6D-47F7-AE49-965F0D2A4D01}" type="parTrans" cxnId="{60218D6A-D799-46FF-8E98-1494449686A3}">
      <dgm:prSet/>
      <dgm:spPr/>
      <dgm:t>
        <a:bodyPr/>
        <a:lstStyle/>
        <a:p>
          <a:endParaRPr lang="en-GB"/>
        </a:p>
      </dgm:t>
    </dgm:pt>
    <dgm:pt modelId="{36B7FDE7-C0AE-4450-91C4-995820BA0D61}" type="pres">
      <dgm:prSet presAssocID="{58850E43-12A4-47E3-9498-3803615764E8}" presName="Name0" presStyleCnt="0">
        <dgm:presLayoutVars>
          <dgm:dir/>
          <dgm:animLvl val="lvl"/>
          <dgm:resizeHandles val="exact"/>
        </dgm:presLayoutVars>
      </dgm:prSet>
      <dgm:spPr/>
    </dgm:pt>
    <dgm:pt modelId="{3E5ECA4D-10B1-4F0F-8F27-7F67D0585DCB}" type="pres">
      <dgm:prSet presAssocID="{6AA4539D-77B0-46C1-90BB-BE34551C627B}" presName="parTxOnly" presStyleLbl="node1" presStyleIdx="0" presStyleCnt="3" custScaleX="271531" custLinFactY="-151220" custLinFactNeighborX="49687" custLinFactNeighborY="-2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AF74B6-DE1A-4087-88C3-B9BD243E8619}" type="pres">
      <dgm:prSet presAssocID="{72FF32D2-0C94-4057-A7C3-4FC9B7ED2975}" presName="parTxOnlySpace" presStyleCnt="0"/>
      <dgm:spPr/>
    </dgm:pt>
    <dgm:pt modelId="{4FCAEF9C-724F-461C-B829-FF6617335384}" type="pres">
      <dgm:prSet presAssocID="{3F690A40-CE7B-4038-B0DF-AD136619B593}" presName="parTxOnly" presStyleLbl="node1" presStyleIdx="1" presStyleCnt="3" custScaleX="10960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9387B7-04BC-4C2C-8D6B-A7B88C6C779C}" type="pres">
      <dgm:prSet presAssocID="{5182CA90-B469-4791-8040-91F5D74A6EC6}" presName="parTxOnlySpace" presStyleCnt="0"/>
      <dgm:spPr/>
    </dgm:pt>
    <dgm:pt modelId="{A20567F0-3440-474D-9591-5D31638B2FA2}" type="pres">
      <dgm:prSet presAssocID="{1A9E9D5E-77FE-4916-B2AF-07141E49C9E6}" presName="parTxOnly" presStyleLbl="node1" presStyleIdx="2" presStyleCnt="3" custScaleX="5847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8ED189B-7E69-460E-BD9C-43FB39E02C9D}" srcId="{58850E43-12A4-47E3-9498-3803615764E8}" destId="{3F690A40-CE7B-4038-B0DF-AD136619B593}" srcOrd="1" destOrd="0" parTransId="{58E5160E-D456-48EE-8D22-58CAEB2B26D4}" sibTransId="{5182CA90-B469-4791-8040-91F5D74A6EC6}"/>
    <dgm:cxn modelId="{0E6D1F90-92B8-41DC-822E-A9AA9B66BDEF}" type="presOf" srcId="{6AA4539D-77B0-46C1-90BB-BE34551C627B}" destId="{3E5ECA4D-10B1-4F0F-8F27-7F67D0585DCB}" srcOrd="0" destOrd="0" presId="urn:microsoft.com/office/officeart/2005/8/layout/chevron1"/>
    <dgm:cxn modelId="{E85C8513-4CAD-41CD-875A-7D1F8BD356B6}" type="presOf" srcId="{1A9E9D5E-77FE-4916-B2AF-07141E49C9E6}" destId="{A20567F0-3440-474D-9591-5D31638B2FA2}" srcOrd="0" destOrd="0" presId="urn:microsoft.com/office/officeart/2005/8/layout/chevron1"/>
    <dgm:cxn modelId="{60218D6A-D799-46FF-8E98-1494449686A3}" srcId="{58850E43-12A4-47E3-9498-3803615764E8}" destId="{1A9E9D5E-77FE-4916-B2AF-07141E49C9E6}" srcOrd="2" destOrd="0" parTransId="{B4993821-BD6D-47F7-AE49-965F0D2A4D01}" sibTransId="{BA6002F4-88B6-4FA1-BB93-EF15D8A87AEA}"/>
    <dgm:cxn modelId="{23BEBC3E-030C-46DC-A9D6-D76735521938}" type="presOf" srcId="{3F690A40-CE7B-4038-B0DF-AD136619B593}" destId="{4FCAEF9C-724F-461C-B829-FF6617335384}" srcOrd="0" destOrd="0" presId="urn:microsoft.com/office/officeart/2005/8/layout/chevron1"/>
    <dgm:cxn modelId="{B263A6D6-A029-408B-9C8B-C5837BEE281C}" type="presOf" srcId="{58850E43-12A4-47E3-9498-3803615764E8}" destId="{36B7FDE7-C0AE-4450-91C4-995820BA0D61}" srcOrd="0" destOrd="0" presId="urn:microsoft.com/office/officeart/2005/8/layout/chevron1"/>
    <dgm:cxn modelId="{E13714C4-558E-460A-A3ED-D94ACFD9D44E}" srcId="{58850E43-12A4-47E3-9498-3803615764E8}" destId="{6AA4539D-77B0-46C1-90BB-BE34551C627B}" srcOrd="0" destOrd="0" parTransId="{CDB18104-AB02-46B3-B050-6B5C6932234D}" sibTransId="{72FF32D2-0C94-4057-A7C3-4FC9B7ED2975}"/>
    <dgm:cxn modelId="{6C3EB564-E1C0-4A56-916B-C1E25F826EBD}" type="presParOf" srcId="{36B7FDE7-C0AE-4450-91C4-995820BA0D61}" destId="{3E5ECA4D-10B1-4F0F-8F27-7F67D0585DCB}" srcOrd="0" destOrd="0" presId="urn:microsoft.com/office/officeart/2005/8/layout/chevron1"/>
    <dgm:cxn modelId="{3F595331-7152-46EE-B0D4-C046B4D1485A}" type="presParOf" srcId="{36B7FDE7-C0AE-4450-91C4-995820BA0D61}" destId="{27AF74B6-DE1A-4087-88C3-B9BD243E8619}" srcOrd="1" destOrd="0" presId="urn:microsoft.com/office/officeart/2005/8/layout/chevron1"/>
    <dgm:cxn modelId="{FD7357EA-8F97-423D-BE91-21785640F1FC}" type="presParOf" srcId="{36B7FDE7-C0AE-4450-91C4-995820BA0D61}" destId="{4FCAEF9C-724F-461C-B829-FF6617335384}" srcOrd="2" destOrd="0" presId="urn:microsoft.com/office/officeart/2005/8/layout/chevron1"/>
    <dgm:cxn modelId="{C03407BD-3F3A-4573-ABA2-C2BCE4FC95FB}" type="presParOf" srcId="{36B7FDE7-C0AE-4450-91C4-995820BA0D61}" destId="{8D9387B7-04BC-4C2C-8D6B-A7B88C6C779C}" srcOrd="3" destOrd="0" presId="urn:microsoft.com/office/officeart/2005/8/layout/chevron1"/>
    <dgm:cxn modelId="{4D474325-15E5-4836-BBA5-5CD9E1C69A07}" type="presParOf" srcId="{36B7FDE7-C0AE-4450-91C4-995820BA0D61}" destId="{A20567F0-3440-474D-9591-5D31638B2FA2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850E43-12A4-47E3-9498-3803615764E8}" type="doc">
      <dgm:prSet loTypeId="urn:microsoft.com/office/officeart/2005/8/layout/chevron1" loCatId="process" qsTypeId="urn:microsoft.com/office/officeart/2005/8/quickstyle/simple1#2" qsCatId="simple" csTypeId="urn:microsoft.com/office/officeart/2005/8/colors/accent1_5" csCatId="accent1" phldr="1"/>
      <dgm:spPr/>
    </dgm:pt>
    <dgm:pt modelId="{6AA4539D-77B0-46C1-90BB-BE34551C627B}">
      <dgm:prSet phldrT="[Text]" custT="1"/>
      <dgm:spPr/>
      <dgm:t>
        <a:bodyPr/>
        <a:lstStyle/>
        <a:p>
          <a:r>
            <a:rPr lang="en-GB" sz="1100"/>
            <a:t>Decreasing size of expected study yield</a:t>
          </a:r>
          <a:r>
            <a:rPr lang="en-GB" sz="1100" baseline="30000"/>
            <a:t>1</a:t>
          </a:r>
        </a:p>
      </dgm:t>
    </dgm:pt>
    <dgm:pt modelId="{CDB18104-AB02-46B3-B050-6B5C6932234D}" type="parTrans" cxnId="{E13714C4-558E-460A-A3ED-D94ACFD9D44E}">
      <dgm:prSet/>
      <dgm:spPr/>
      <dgm:t>
        <a:bodyPr/>
        <a:lstStyle/>
        <a:p>
          <a:endParaRPr lang="en-GB"/>
        </a:p>
      </dgm:t>
    </dgm:pt>
    <dgm:pt modelId="{72FF32D2-0C94-4057-A7C3-4FC9B7ED2975}" type="sibTrans" cxnId="{E13714C4-558E-460A-A3ED-D94ACFD9D44E}">
      <dgm:prSet/>
      <dgm:spPr/>
      <dgm:t>
        <a:bodyPr/>
        <a:lstStyle/>
        <a:p>
          <a:endParaRPr lang="en-GB"/>
        </a:p>
      </dgm:t>
    </dgm:pt>
    <dgm:pt modelId="{3F690A40-CE7B-4038-B0DF-AD136619B593}">
      <dgm:prSet phldrT="[Text]"/>
      <dgm:spPr/>
      <dgm:t>
        <a:bodyPr/>
        <a:lstStyle/>
        <a:p>
          <a:endParaRPr lang="en-GB"/>
        </a:p>
      </dgm:t>
    </dgm:pt>
    <dgm:pt modelId="{58E5160E-D456-48EE-8D22-58CAEB2B26D4}" type="parTrans" cxnId="{D8ED189B-7E69-460E-BD9C-43FB39E02C9D}">
      <dgm:prSet/>
      <dgm:spPr/>
      <dgm:t>
        <a:bodyPr/>
        <a:lstStyle/>
        <a:p>
          <a:endParaRPr lang="en-GB"/>
        </a:p>
      </dgm:t>
    </dgm:pt>
    <dgm:pt modelId="{5182CA90-B469-4791-8040-91F5D74A6EC6}" type="sibTrans" cxnId="{D8ED189B-7E69-460E-BD9C-43FB39E02C9D}">
      <dgm:prSet/>
      <dgm:spPr/>
      <dgm:t>
        <a:bodyPr/>
        <a:lstStyle/>
        <a:p>
          <a:endParaRPr lang="en-GB"/>
        </a:p>
      </dgm:t>
    </dgm:pt>
    <dgm:pt modelId="{1A9E9D5E-77FE-4916-B2AF-07141E49C9E6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BA6002F4-88B6-4FA1-BB93-EF15D8A87AEA}" type="sibTrans" cxnId="{60218D6A-D799-46FF-8E98-1494449686A3}">
      <dgm:prSet/>
      <dgm:spPr/>
      <dgm:t>
        <a:bodyPr/>
        <a:lstStyle/>
        <a:p>
          <a:endParaRPr lang="en-GB"/>
        </a:p>
      </dgm:t>
    </dgm:pt>
    <dgm:pt modelId="{B4993821-BD6D-47F7-AE49-965F0D2A4D01}" type="parTrans" cxnId="{60218D6A-D799-46FF-8E98-1494449686A3}">
      <dgm:prSet/>
      <dgm:spPr/>
      <dgm:t>
        <a:bodyPr/>
        <a:lstStyle/>
        <a:p>
          <a:endParaRPr lang="en-GB"/>
        </a:p>
      </dgm:t>
    </dgm:pt>
    <dgm:pt modelId="{36B7FDE7-C0AE-4450-91C4-995820BA0D61}" type="pres">
      <dgm:prSet presAssocID="{58850E43-12A4-47E3-9498-3803615764E8}" presName="Name0" presStyleCnt="0">
        <dgm:presLayoutVars>
          <dgm:dir/>
          <dgm:animLvl val="lvl"/>
          <dgm:resizeHandles val="exact"/>
        </dgm:presLayoutVars>
      </dgm:prSet>
      <dgm:spPr/>
    </dgm:pt>
    <dgm:pt modelId="{3E5ECA4D-10B1-4F0F-8F27-7F67D0585DCB}" type="pres">
      <dgm:prSet presAssocID="{6AA4539D-77B0-46C1-90BB-BE34551C627B}" presName="parTxOnly" presStyleLbl="node1" presStyleIdx="0" presStyleCnt="3" custScaleX="2715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AF74B6-DE1A-4087-88C3-B9BD243E8619}" type="pres">
      <dgm:prSet presAssocID="{72FF32D2-0C94-4057-A7C3-4FC9B7ED2975}" presName="parTxOnlySpace" presStyleCnt="0"/>
      <dgm:spPr/>
    </dgm:pt>
    <dgm:pt modelId="{4FCAEF9C-724F-461C-B829-FF6617335384}" type="pres">
      <dgm:prSet presAssocID="{3F690A40-CE7B-4038-B0DF-AD136619B593}" presName="parTxOnly" presStyleLbl="node1" presStyleIdx="1" presStyleCnt="3" custScaleX="10960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9387B7-04BC-4C2C-8D6B-A7B88C6C779C}" type="pres">
      <dgm:prSet presAssocID="{5182CA90-B469-4791-8040-91F5D74A6EC6}" presName="parTxOnlySpace" presStyleCnt="0"/>
      <dgm:spPr/>
    </dgm:pt>
    <dgm:pt modelId="{A20567F0-3440-474D-9591-5D31638B2FA2}" type="pres">
      <dgm:prSet presAssocID="{1A9E9D5E-77FE-4916-B2AF-07141E49C9E6}" presName="parTxOnly" presStyleLbl="node1" presStyleIdx="2" presStyleCnt="3" custScaleX="5847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8ED189B-7E69-460E-BD9C-43FB39E02C9D}" srcId="{58850E43-12A4-47E3-9498-3803615764E8}" destId="{3F690A40-CE7B-4038-B0DF-AD136619B593}" srcOrd="1" destOrd="0" parTransId="{58E5160E-D456-48EE-8D22-58CAEB2B26D4}" sibTransId="{5182CA90-B469-4791-8040-91F5D74A6EC6}"/>
    <dgm:cxn modelId="{BF84682B-AE1A-4FA0-9C63-AA66E4C98720}" type="presOf" srcId="{3F690A40-CE7B-4038-B0DF-AD136619B593}" destId="{4FCAEF9C-724F-461C-B829-FF6617335384}" srcOrd="0" destOrd="0" presId="urn:microsoft.com/office/officeart/2005/8/layout/chevron1"/>
    <dgm:cxn modelId="{1031654C-94CF-4889-8E1C-16EA5A2CF3C7}" type="presOf" srcId="{6AA4539D-77B0-46C1-90BB-BE34551C627B}" destId="{3E5ECA4D-10B1-4F0F-8F27-7F67D0585DCB}" srcOrd="0" destOrd="0" presId="urn:microsoft.com/office/officeart/2005/8/layout/chevron1"/>
    <dgm:cxn modelId="{60218D6A-D799-46FF-8E98-1494449686A3}" srcId="{58850E43-12A4-47E3-9498-3803615764E8}" destId="{1A9E9D5E-77FE-4916-B2AF-07141E49C9E6}" srcOrd="2" destOrd="0" parTransId="{B4993821-BD6D-47F7-AE49-965F0D2A4D01}" sibTransId="{BA6002F4-88B6-4FA1-BB93-EF15D8A87AEA}"/>
    <dgm:cxn modelId="{E13714C4-558E-460A-A3ED-D94ACFD9D44E}" srcId="{58850E43-12A4-47E3-9498-3803615764E8}" destId="{6AA4539D-77B0-46C1-90BB-BE34551C627B}" srcOrd="0" destOrd="0" parTransId="{CDB18104-AB02-46B3-B050-6B5C6932234D}" sibTransId="{72FF32D2-0C94-4057-A7C3-4FC9B7ED2975}"/>
    <dgm:cxn modelId="{A2C75371-EE9A-4EC5-AEB1-2B3EB774107F}" type="presOf" srcId="{58850E43-12A4-47E3-9498-3803615764E8}" destId="{36B7FDE7-C0AE-4450-91C4-995820BA0D61}" srcOrd="0" destOrd="0" presId="urn:microsoft.com/office/officeart/2005/8/layout/chevron1"/>
    <dgm:cxn modelId="{16AF23E4-A69B-4414-A7E6-FEBD428EC9A4}" type="presOf" srcId="{1A9E9D5E-77FE-4916-B2AF-07141E49C9E6}" destId="{A20567F0-3440-474D-9591-5D31638B2FA2}" srcOrd="0" destOrd="0" presId="urn:microsoft.com/office/officeart/2005/8/layout/chevron1"/>
    <dgm:cxn modelId="{39FF1061-37FE-4FD9-BE2A-5A3DE92CDE32}" type="presParOf" srcId="{36B7FDE7-C0AE-4450-91C4-995820BA0D61}" destId="{3E5ECA4D-10B1-4F0F-8F27-7F67D0585DCB}" srcOrd="0" destOrd="0" presId="urn:microsoft.com/office/officeart/2005/8/layout/chevron1"/>
    <dgm:cxn modelId="{2CE05A51-B20D-45EC-880B-4982040A7A44}" type="presParOf" srcId="{36B7FDE7-C0AE-4450-91C4-995820BA0D61}" destId="{27AF74B6-DE1A-4087-88C3-B9BD243E8619}" srcOrd="1" destOrd="0" presId="urn:microsoft.com/office/officeart/2005/8/layout/chevron1"/>
    <dgm:cxn modelId="{F8C72870-7C3A-47BD-A0AE-B23095483647}" type="presParOf" srcId="{36B7FDE7-C0AE-4450-91C4-995820BA0D61}" destId="{4FCAEF9C-724F-461C-B829-FF6617335384}" srcOrd="2" destOrd="0" presId="urn:microsoft.com/office/officeart/2005/8/layout/chevron1"/>
    <dgm:cxn modelId="{2A306781-F27D-4D5B-8300-170C961D5127}" type="presParOf" srcId="{36B7FDE7-C0AE-4450-91C4-995820BA0D61}" destId="{8D9387B7-04BC-4C2C-8D6B-A7B88C6C779C}" srcOrd="3" destOrd="0" presId="urn:microsoft.com/office/officeart/2005/8/layout/chevron1"/>
    <dgm:cxn modelId="{7D74E4B5-361E-4084-A670-57A8C308ECFD}" type="presParOf" srcId="{36B7FDE7-C0AE-4450-91C4-995820BA0D61}" destId="{A20567F0-3440-474D-9591-5D31638B2FA2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5ECA4D-10B1-4F0F-8F27-7F67D0585DCB}">
      <dsp:nvSpPr>
        <dsp:cNvPr id="0" name=""/>
        <dsp:cNvSpPr/>
      </dsp:nvSpPr>
      <dsp:spPr>
        <a:xfrm>
          <a:off x="89149" y="0"/>
          <a:ext cx="4840631" cy="233680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Decreasing size of expected study yield</a:t>
          </a:r>
          <a:r>
            <a:rPr lang="en-GB" sz="1100" kern="1200" baseline="30000"/>
            <a:t>1</a:t>
          </a:r>
        </a:p>
      </dsp:txBody>
      <dsp:txXfrm>
        <a:off x="89149" y="0"/>
        <a:ext cx="4840631" cy="233680"/>
      </dsp:txXfrm>
    </dsp:sp>
    <dsp:sp modelId="{4FCAEF9C-724F-461C-B829-FF6617335384}">
      <dsp:nvSpPr>
        <dsp:cNvPr id="0" name=""/>
        <dsp:cNvSpPr/>
      </dsp:nvSpPr>
      <dsp:spPr>
        <a:xfrm>
          <a:off x="4662931" y="0"/>
          <a:ext cx="1953965" cy="233680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4662931" y="0"/>
        <a:ext cx="1953965" cy="233680"/>
      </dsp:txXfrm>
    </dsp:sp>
    <dsp:sp modelId="{A20567F0-3440-474D-9591-5D31638B2FA2}">
      <dsp:nvSpPr>
        <dsp:cNvPr id="0" name=""/>
        <dsp:cNvSpPr/>
      </dsp:nvSpPr>
      <dsp:spPr>
        <a:xfrm>
          <a:off x="6438625" y="0"/>
          <a:ext cx="1042372" cy="233680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 </a:t>
          </a:r>
        </a:p>
      </dsp:txBody>
      <dsp:txXfrm>
        <a:off x="6438625" y="0"/>
        <a:ext cx="1042372" cy="2336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5ECA4D-10B1-4F0F-8F27-7F67D0585DCB}">
      <dsp:nvSpPr>
        <dsp:cNvPr id="0" name=""/>
        <dsp:cNvSpPr/>
      </dsp:nvSpPr>
      <dsp:spPr>
        <a:xfrm>
          <a:off x="577" y="0"/>
          <a:ext cx="4886235" cy="233680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Decreasing size of expected study yield</a:t>
          </a:r>
          <a:r>
            <a:rPr lang="en-GB" sz="1100" kern="1200" baseline="30000"/>
            <a:t>1</a:t>
          </a:r>
        </a:p>
      </dsp:txBody>
      <dsp:txXfrm>
        <a:off x="577" y="0"/>
        <a:ext cx="4886235" cy="233680"/>
      </dsp:txXfrm>
    </dsp:sp>
    <dsp:sp modelId="{4FCAEF9C-724F-461C-B829-FF6617335384}">
      <dsp:nvSpPr>
        <dsp:cNvPr id="0" name=""/>
        <dsp:cNvSpPr/>
      </dsp:nvSpPr>
      <dsp:spPr>
        <a:xfrm>
          <a:off x="4706861" y="0"/>
          <a:ext cx="1972374" cy="233680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4706861" y="0"/>
        <a:ext cx="1972374" cy="233680"/>
      </dsp:txXfrm>
    </dsp:sp>
    <dsp:sp modelId="{A20567F0-3440-474D-9591-5D31638B2FA2}">
      <dsp:nvSpPr>
        <dsp:cNvPr id="0" name=""/>
        <dsp:cNvSpPr/>
      </dsp:nvSpPr>
      <dsp:spPr>
        <a:xfrm>
          <a:off x="6499284" y="0"/>
          <a:ext cx="1052193" cy="233680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 </a:t>
          </a:r>
        </a:p>
      </dsp:txBody>
      <dsp:txXfrm>
        <a:off x="6499284" y="0"/>
        <a:ext cx="1052193" cy="233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2012-01-26T13:44:00Z</dcterms:created>
  <dcterms:modified xsi:type="dcterms:W3CDTF">2012-02-15T12:52:00Z</dcterms:modified>
</cp:coreProperties>
</file>