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E4B57" w:rsidRPr="000D0899" w:rsidRDefault="005E4B57" w:rsidP="005E4B57">
      <w:pPr>
        <w:spacing w:line="480" w:lineRule="auto"/>
        <w:jc w:val="both"/>
        <w:rPr>
          <w:rFonts w:ascii="Arial" w:hAnsi="Arial" w:cs="Arial"/>
          <w:sz w:val="20"/>
          <w:lang w:val="en-US"/>
        </w:rPr>
      </w:pPr>
      <w:proofErr w:type="gramStart"/>
      <w:r w:rsidRPr="000D0899">
        <w:rPr>
          <w:rFonts w:ascii="Arial" w:hAnsi="Arial" w:cs="Arial"/>
          <w:b/>
          <w:sz w:val="20"/>
          <w:lang w:val="en-US"/>
        </w:rPr>
        <w:t xml:space="preserve">Supplementary Table </w:t>
      </w:r>
      <w:r>
        <w:rPr>
          <w:rFonts w:ascii="Arial" w:hAnsi="Arial" w:cs="Arial"/>
          <w:b/>
          <w:sz w:val="20"/>
          <w:lang w:val="en-US"/>
        </w:rPr>
        <w:t>S</w:t>
      </w:r>
      <w:bookmarkStart w:id="0" w:name="_GoBack"/>
      <w:bookmarkEnd w:id="0"/>
      <w:r w:rsidRPr="000D0899">
        <w:rPr>
          <w:rFonts w:ascii="Arial" w:hAnsi="Arial" w:cs="Arial"/>
          <w:b/>
          <w:sz w:val="20"/>
          <w:lang w:val="en-US"/>
        </w:rPr>
        <w:t>2.</w:t>
      </w:r>
      <w:proofErr w:type="gramEnd"/>
      <w:r w:rsidRPr="000D0899">
        <w:rPr>
          <w:rFonts w:ascii="Arial" w:hAnsi="Arial" w:cs="Arial"/>
          <w:sz w:val="20"/>
          <w:lang w:val="en-US"/>
        </w:rPr>
        <w:t xml:space="preserve"> Model summary statistics of metabolic changes in mice plasma following DSS challenge.</w:t>
      </w:r>
    </w:p>
    <w:tbl>
      <w:tblPr>
        <w:tblW w:w="0" w:type="auto"/>
        <w:tblLook w:val="00A0"/>
      </w:tblPr>
      <w:tblGrid>
        <w:gridCol w:w="2231"/>
        <w:gridCol w:w="2203"/>
        <w:gridCol w:w="2203"/>
        <w:gridCol w:w="2219"/>
      </w:tblGrid>
      <w:tr w:rsidR="005E4B57" w:rsidRPr="000D0899">
        <w:tc>
          <w:tcPr>
            <w:tcW w:w="2428" w:type="dxa"/>
          </w:tcPr>
          <w:p w:rsidR="005E4B57" w:rsidRPr="000D0899" w:rsidRDefault="005E4B57" w:rsidP="006C0298">
            <w:pPr>
              <w:spacing w:before="240" w:after="0" w:line="480" w:lineRule="auto"/>
              <w:jc w:val="center"/>
              <w:rPr>
                <w:rFonts w:ascii="Arial" w:hAnsi="Arial" w:cs="Arial"/>
                <w:b/>
                <w:sz w:val="20"/>
                <w:szCs w:val="20"/>
                <w:lang w:val="en-US"/>
              </w:rPr>
            </w:pPr>
            <w:r w:rsidRPr="000D0899">
              <w:rPr>
                <w:rFonts w:ascii="Arial" w:hAnsi="Arial" w:cs="Arial"/>
                <w:b/>
                <w:sz w:val="20"/>
                <w:szCs w:val="20"/>
                <w:lang w:val="en-US"/>
              </w:rPr>
              <w:t>Diet</w:t>
            </w:r>
          </w:p>
        </w:tc>
        <w:tc>
          <w:tcPr>
            <w:tcW w:w="2428" w:type="dxa"/>
          </w:tcPr>
          <w:p w:rsidR="005E4B57" w:rsidRPr="000D0899" w:rsidRDefault="005E4B57" w:rsidP="006C0298">
            <w:pPr>
              <w:spacing w:before="240" w:after="0" w:line="480" w:lineRule="auto"/>
              <w:jc w:val="center"/>
              <w:rPr>
                <w:rFonts w:ascii="Arial" w:hAnsi="Arial" w:cs="Arial"/>
                <w:b/>
                <w:sz w:val="20"/>
                <w:szCs w:val="20"/>
                <w:lang w:val="en-US"/>
              </w:rPr>
            </w:pPr>
            <w:r w:rsidRPr="000D0899">
              <w:rPr>
                <w:rFonts w:ascii="Arial" w:hAnsi="Arial" w:cs="Arial"/>
                <w:b/>
                <w:sz w:val="20"/>
                <w:szCs w:val="20"/>
                <w:lang w:val="en-US"/>
              </w:rPr>
              <w:t>R</w:t>
            </w:r>
            <w:r w:rsidRPr="000D0899">
              <w:rPr>
                <w:rFonts w:ascii="Arial" w:hAnsi="Arial" w:cs="Arial"/>
                <w:b/>
                <w:sz w:val="20"/>
                <w:szCs w:val="20"/>
                <w:vertAlign w:val="superscript"/>
                <w:lang w:val="en-US"/>
              </w:rPr>
              <w:t>2</w:t>
            </w:r>
            <w:r w:rsidRPr="000D0899">
              <w:rPr>
                <w:rFonts w:ascii="Arial" w:hAnsi="Arial" w:cs="Arial"/>
                <w:b/>
                <w:sz w:val="20"/>
                <w:szCs w:val="20"/>
                <w:lang w:val="en-US"/>
              </w:rPr>
              <w:t>X</w:t>
            </w:r>
          </w:p>
        </w:tc>
        <w:tc>
          <w:tcPr>
            <w:tcW w:w="2428" w:type="dxa"/>
          </w:tcPr>
          <w:p w:rsidR="005E4B57" w:rsidRPr="000D0899" w:rsidRDefault="005E4B57" w:rsidP="006C0298">
            <w:pPr>
              <w:spacing w:before="240" w:after="0" w:line="480" w:lineRule="auto"/>
              <w:jc w:val="center"/>
              <w:rPr>
                <w:rFonts w:ascii="Arial" w:hAnsi="Arial" w:cs="Arial"/>
                <w:b/>
                <w:sz w:val="20"/>
                <w:szCs w:val="20"/>
                <w:lang w:val="en-US"/>
              </w:rPr>
            </w:pPr>
            <w:r w:rsidRPr="000D0899">
              <w:rPr>
                <w:rFonts w:ascii="Arial" w:hAnsi="Arial" w:cs="Arial"/>
                <w:b/>
                <w:sz w:val="20"/>
                <w:szCs w:val="20"/>
                <w:lang w:val="en-US"/>
              </w:rPr>
              <w:t>R</w:t>
            </w:r>
            <w:r w:rsidRPr="000D0899">
              <w:rPr>
                <w:rFonts w:ascii="Arial" w:hAnsi="Arial" w:cs="Arial"/>
                <w:b/>
                <w:sz w:val="20"/>
                <w:szCs w:val="20"/>
                <w:vertAlign w:val="superscript"/>
                <w:lang w:val="en-US"/>
              </w:rPr>
              <w:t>2</w:t>
            </w:r>
            <w:r w:rsidRPr="000D0899">
              <w:rPr>
                <w:rFonts w:ascii="Arial" w:hAnsi="Arial" w:cs="Arial"/>
                <w:b/>
                <w:sz w:val="20"/>
                <w:szCs w:val="20"/>
                <w:lang w:val="en-US"/>
              </w:rPr>
              <w:t>Y</w:t>
            </w:r>
          </w:p>
        </w:tc>
        <w:tc>
          <w:tcPr>
            <w:tcW w:w="2429" w:type="dxa"/>
          </w:tcPr>
          <w:p w:rsidR="005E4B57" w:rsidRPr="000D0899" w:rsidRDefault="005E4B57" w:rsidP="006C0298">
            <w:pPr>
              <w:spacing w:before="240" w:after="0" w:line="480" w:lineRule="auto"/>
              <w:jc w:val="center"/>
              <w:rPr>
                <w:rFonts w:ascii="Arial" w:hAnsi="Arial" w:cs="Arial"/>
                <w:b/>
                <w:sz w:val="20"/>
                <w:szCs w:val="20"/>
                <w:lang w:val="en-US"/>
              </w:rPr>
            </w:pPr>
            <w:r w:rsidRPr="000D0899">
              <w:rPr>
                <w:rFonts w:ascii="Arial" w:hAnsi="Arial" w:cs="Arial"/>
                <w:b/>
                <w:sz w:val="20"/>
                <w:szCs w:val="20"/>
                <w:lang w:val="en-US"/>
              </w:rPr>
              <w:t>Q</w:t>
            </w:r>
            <w:r w:rsidRPr="000D0899">
              <w:rPr>
                <w:rFonts w:ascii="Arial" w:hAnsi="Arial" w:cs="Arial"/>
                <w:b/>
                <w:sz w:val="20"/>
                <w:szCs w:val="20"/>
                <w:vertAlign w:val="superscript"/>
                <w:lang w:val="en-US"/>
              </w:rPr>
              <w:t>2</w:t>
            </w:r>
            <w:r w:rsidRPr="000D0899">
              <w:rPr>
                <w:rFonts w:ascii="Arial" w:hAnsi="Arial" w:cs="Arial"/>
                <w:b/>
                <w:sz w:val="20"/>
                <w:szCs w:val="20"/>
                <w:lang w:val="en-US"/>
              </w:rPr>
              <w:t>Y</w:t>
            </w:r>
          </w:p>
        </w:tc>
      </w:tr>
      <w:tr w:rsidR="005E4B57" w:rsidRPr="000D0899">
        <w:tc>
          <w:tcPr>
            <w:tcW w:w="2428" w:type="dxa"/>
          </w:tcPr>
          <w:p w:rsidR="005E4B57" w:rsidRPr="000D0899" w:rsidRDefault="005E4B57" w:rsidP="006C0298">
            <w:pPr>
              <w:spacing w:before="240" w:after="0" w:line="480" w:lineRule="auto"/>
              <w:jc w:val="center"/>
              <w:rPr>
                <w:rFonts w:ascii="Arial" w:hAnsi="Arial" w:cs="Arial"/>
                <w:b/>
                <w:sz w:val="20"/>
                <w:szCs w:val="20"/>
                <w:lang w:val="en-US"/>
              </w:rPr>
            </w:pPr>
            <w:r w:rsidRPr="000D0899">
              <w:rPr>
                <w:rFonts w:ascii="Arial" w:hAnsi="Arial" w:cs="Arial"/>
                <w:b/>
                <w:sz w:val="20"/>
                <w:szCs w:val="20"/>
                <w:lang w:val="en-US"/>
              </w:rPr>
              <w:t>Control</w:t>
            </w:r>
          </w:p>
        </w:tc>
        <w:tc>
          <w:tcPr>
            <w:tcW w:w="2428" w:type="dxa"/>
          </w:tcPr>
          <w:p w:rsidR="005E4B57" w:rsidRPr="000D0899" w:rsidRDefault="005E4B57" w:rsidP="006C0298">
            <w:pPr>
              <w:spacing w:before="240" w:after="0" w:line="480" w:lineRule="auto"/>
              <w:jc w:val="center"/>
              <w:rPr>
                <w:rFonts w:ascii="Arial" w:hAnsi="Arial" w:cs="Arial"/>
                <w:sz w:val="20"/>
                <w:szCs w:val="20"/>
                <w:lang w:val="en-US"/>
              </w:rPr>
            </w:pPr>
            <w:r w:rsidRPr="000D0899">
              <w:rPr>
                <w:rFonts w:ascii="Arial" w:hAnsi="Arial" w:cs="Arial"/>
                <w:sz w:val="20"/>
                <w:szCs w:val="20"/>
                <w:lang w:val="en-US"/>
              </w:rPr>
              <w:t>0.343</w:t>
            </w:r>
          </w:p>
        </w:tc>
        <w:tc>
          <w:tcPr>
            <w:tcW w:w="2428" w:type="dxa"/>
          </w:tcPr>
          <w:p w:rsidR="005E4B57" w:rsidRPr="000D0899" w:rsidRDefault="005E4B57" w:rsidP="006C0298">
            <w:pPr>
              <w:spacing w:before="240" w:after="0" w:line="480" w:lineRule="auto"/>
              <w:jc w:val="center"/>
              <w:rPr>
                <w:rFonts w:ascii="Arial" w:hAnsi="Arial" w:cs="Arial"/>
                <w:sz w:val="20"/>
                <w:szCs w:val="20"/>
                <w:lang w:val="en-US"/>
              </w:rPr>
            </w:pPr>
            <w:r w:rsidRPr="000D0899">
              <w:rPr>
                <w:rFonts w:ascii="Arial" w:hAnsi="Arial" w:cs="Arial"/>
                <w:sz w:val="20"/>
                <w:szCs w:val="20"/>
                <w:lang w:val="en-US"/>
              </w:rPr>
              <w:t>0.973</w:t>
            </w:r>
          </w:p>
        </w:tc>
        <w:tc>
          <w:tcPr>
            <w:tcW w:w="2429" w:type="dxa"/>
          </w:tcPr>
          <w:p w:rsidR="005E4B57" w:rsidRPr="000D0899" w:rsidRDefault="005E4B57" w:rsidP="006C0298">
            <w:pPr>
              <w:spacing w:before="240" w:after="0" w:line="480" w:lineRule="auto"/>
              <w:jc w:val="center"/>
              <w:rPr>
                <w:rFonts w:ascii="Arial" w:hAnsi="Arial" w:cs="Arial"/>
                <w:sz w:val="20"/>
                <w:szCs w:val="20"/>
                <w:lang w:val="en-US"/>
              </w:rPr>
            </w:pPr>
            <w:r w:rsidRPr="000D0899">
              <w:rPr>
                <w:rFonts w:ascii="Arial" w:hAnsi="Arial" w:cs="Arial"/>
                <w:sz w:val="20"/>
                <w:szCs w:val="20"/>
                <w:lang w:val="en-US"/>
              </w:rPr>
              <w:t>0.519</w:t>
            </w:r>
          </w:p>
        </w:tc>
      </w:tr>
      <w:tr w:rsidR="005E4B57" w:rsidRPr="000D0899">
        <w:tc>
          <w:tcPr>
            <w:tcW w:w="2428" w:type="dxa"/>
          </w:tcPr>
          <w:p w:rsidR="005E4B57" w:rsidRPr="000D0899" w:rsidRDefault="005E4B57" w:rsidP="006C0298">
            <w:pPr>
              <w:spacing w:before="240" w:after="0" w:line="480" w:lineRule="auto"/>
              <w:jc w:val="center"/>
              <w:rPr>
                <w:rFonts w:ascii="Arial" w:hAnsi="Arial" w:cs="Arial"/>
                <w:b/>
                <w:sz w:val="20"/>
                <w:szCs w:val="20"/>
                <w:lang w:val="en-US"/>
              </w:rPr>
            </w:pPr>
            <w:r w:rsidRPr="000D0899">
              <w:rPr>
                <w:rFonts w:ascii="Arial" w:hAnsi="Arial" w:cs="Arial"/>
                <w:b/>
                <w:sz w:val="20"/>
                <w:szCs w:val="20"/>
                <w:lang w:val="en-US"/>
              </w:rPr>
              <w:t>CLA</w:t>
            </w:r>
          </w:p>
        </w:tc>
        <w:tc>
          <w:tcPr>
            <w:tcW w:w="2428" w:type="dxa"/>
          </w:tcPr>
          <w:p w:rsidR="005E4B57" w:rsidRPr="000D0899" w:rsidRDefault="005E4B57" w:rsidP="006C0298">
            <w:pPr>
              <w:spacing w:before="240" w:after="0" w:line="480" w:lineRule="auto"/>
              <w:jc w:val="center"/>
              <w:rPr>
                <w:rFonts w:ascii="Arial" w:hAnsi="Arial" w:cs="Arial"/>
                <w:sz w:val="20"/>
                <w:szCs w:val="20"/>
                <w:lang w:val="en-US"/>
              </w:rPr>
            </w:pPr>
            <w:r w:rsidRPr="000D0899">
              <w:rPr>
                <w:rFonts w:ascii="Arial" w:hAnsi="Arial" w:cs="Arial"/>
                <w:sz w:val="20"/>
                <w:szCs w:val="20"/>
                <w:lang w:val="en-US"/>
              </w:rPr>
              <w:t>0.609</w:t>
            </w:r>
          </w:p>
        </w:tc>
        <w:tc>
          <w:tcPr>
            <w:tcW w:w="2428" w:type="dxa"/>
          </w:tcPr>
          <w:p w:rsidR="005E4B57" w:rsidRPr="000D0899" w:rsidRDefault="005E4B57" w:rsidP="006C0298">
            <w:pPr>
              <w:spacing w:before="240" w:after="0" w:line="480" w:lineRule="auto"/>
              <w:jc w:val="center"/>
              <w:rPr>
                <w:rFonts w:ascii="Arial" w:hAnsi="Arial" w:cs="Arial"/>
                <w:sz w:val="20"/>
                <w:szCs w:val="20"/>
                <w:lang w:val="en-US"/>
              </w:rPr>
            </w:pPr>
            <w:r w:rsidRPr="000D0899">
              <w:rPr>
                <w:rFonts w:ascii="Arial" w:hAnsi="Arial" w:cs="Arial"/>
                <w:sz w:val="20"/>
                <w:szCs w:val="20"/>
                <w:lang w:val="en-US"/>
              </w:rPr>
              <w:t>0.998</w:t>
            </w:r>
          </w:p>
        </w:tc>
        <w:tc>
          <w:tcPr>
            <w:tcW w:w="2429" w:type="dxa"/>
          </w:tcPr>
          <w:p w:rsidR="005E4B57" w:rsidRPr="000D0899" w:rsidRDefault="005E4B57" w:rsidP="006C0298">
            <w:pPr>
              <w:spacing w:before="240" w:after="0" w:line="480" w:lineRule="auto"/>
              <w:jc w:val="center"/>
              <w:rPr>
                <w:rFonts w:ascii="Arial" w:hAnsi="Arial" w:cs="Arial"/>
                <w:sz w:val="20"/>
                <w:szCs w:val="20"/>
                <w:lang w:val="en-US"/>
              </w:rPr>
            </w:pPr>
            <w:r w:rsidRPr="000D0899">
              <w:rPr>
                <w:rFonts w:ascii="Arial" w:hAnsi="Arial" w:cs="Arial"/>
                <w:sz w:val="20"/>
                <w:szCs w:val="20"/>
                <w:lang w:val="en-US"/>
              </w:rPr>
              <w:t>0.428</w:t>
            </w:r>
          </w:p>
        </w:tc>
      </w:tr>
      <w:tr w:rsidR="005E4B57" w:rsidRPr="000D0899">
        <w:tc>
          <w:tcPr>
            <w:tcW w:w="2428" w:type="dxa"/>
          </w:tcPr>
          <w:p w:rsidR="005E4B57" w:rsidRPr="000D0899" w:rsidRDefault="005E4B57" w:rsidP="006C0298">
            <w:pPr>
              <w:spacing w:before="240" w:after="0" w:line="480" w:lineRule="auto"/>
              <w:jc w:val="center"/>
              <w:rPr>
                <w:rFonts w:ascii="Arial" w:hAnsi="Arial" w:cs="Arial"/>
                <w:b/>
                <w:sz w:val="20"/>
                <w:szCs w:val="20"/>
                <w:lang w:val="en-US"/>
              </w:rPr>
            </w:pPr>
            <w:r w:rsidRPr="000D0899">
              <w:rPr>
                <w:rFonts w:ascii="Arial" w:hAnsi="Arial" w:cs="Arial"/>
                <w:b/>
                <w:sz w:val="20"/>
                <w:szCs w:val="20"/>
                <w:lang w:val="en-US"/>
              </w:rPr>
              <w:t>VSL#3</w:t>
            </w:r>
          </w:p>
        </w:tc>
        <w:tc>
          <w:tcPr>
            <w:tcW w:w="2428" w:type="dxa"/>
          </w:tcPr>
          <w:p w:rsidR="005E4B57" w:rsidRPr="000D0899" w:rsidRDefault="005E4B57" w:rsidP="006C0298">
            <w:pPr>
              <w:spacing w:before="240" w:after="0" w:line="480" w:lineRule="auto"/>
              <w:jc w:val="center"/>
              <w:rPr>
                <w:rFonts w:ascii="Arial" w:hAnsi="Arial" w:cs="Arial"/>
                <w:sz w:val="20"/>
                <w:szCs w:val="20"/>
                <w:lang w:val="en-US"/>
              </w:rPr>
            </w:pPr>
            <w:r w:rsidRPr="000D0899">
              <w:rPr>
                <w:rFonts w:ascii="Arial" w:hAnsi="Arial" w:cs="Arial"/>
                <w:sz w:val="20"/>
                <w:szCs w:val="20"/>
                <w:lang w:val="en-US"/>
              </w:rPr>
              <w:t>0.197</w:t>
            </w:r>
          </w:p>
        </w:tc>
        <w:tc>
          <w:tcPr>
            <w:tcW w:w="2428" w:type="dxa"/>
          </w:tcPr>
          <w:p w:rsidR="005E4B57" w:rsidRPr="000D0899" w:rsidRDefault="005E4B57" w:rsidP="006C0298">
            <w:pPr>
              <w:spacing w:before="240" w:after="0" w:line="480" w:lineRule="auto"/>
              <w:jc w:val="center"/>
              <w:rPr>
                <w:rFonts w:ascii="Arial" w:hAnsi="Arial" w:cs="Arial"/>
                <w:sz w:val="20"/>
                <w:szCs w:val="20"/>
                <w:lang w:val="en-US"/>
              </w:rPr>
            </w:pPr>
            <w:r w:rsidRPr="000D0899">
              <w:rPr>
                <w:rFonts w:ascii="Arial" w:hAnsi="Arial" w:cs="Arial"/>
                <w:sz w:val="20"/>
                <w:szCs w:val="20"/>
                <w:lang w:val="en-US"/>
              </w:rPr>
              <w:t>0.884</w:t>
            </w:r>
          </w:p>
        </w:tc>
        <w:tc>
          <w:tcPr>
            <w:tcW w:w="2429" w:type="dxa"/>
          </w:tcPr>
          <w:p w:rsidR="005E4B57" w:rsidRPr="000D0899" w:rsidRDefault="005E4B57" w:rsidP="006C0298">
            <w:pPr>
              <w:spacing w:before="240" w:after="0" w:line="480" w:lineRule="auto"/>
              <w:jc w:val="center"/>
              <w:rPr>
                <w:rFonts w:ascii="Arial" w:hAnsi="Arial" w:cs="Arial"/>
                <w:sz w:val="20"/>
                <w:szCs w:val="20"/>
                <w:lang w:val="en-US"/>
              </w:rPr>
            </w:pPr>
            <w:r w:rsidRPr="000D0899">
              <w:rPr>
                <w:rFonts w:ascii="Arial" w:hAnsi="Arial" w:cs="Arial"/>
                <w:sz w:val="20"/>
                <w:szCs w:val="20"/>
                <w:lang w:val="en-US"/>
              </w:rPr>
              <w:t>0.0472</w:t>
            </w:r>
          </w:p>
        </w:tc>
      </w:tr>
    </w:tbl>
    <w:p w:rsidR="005E4B57" w:rsidRPr="000D0899" w:rsidRDefault="005E4B57" w:rsidP="005E4B57">
      <w:pPr>
        <w:spacing w:before="240" w:line="480" w:lineRule="auto"/>
        <w:jc w:val="both"/>
        <w:rPr>
          <w:rFonts w:ascii="Arial" w:hAnsi="Arial" w:cs="Arial"/>
          <w:sz w:val="20"/>
          <w:lang w:val="en-US"/>
        </w:rPr>
      </w:pPr>
      <w:r w:rsidRPr="000D0899">
        <w:rPr>
          <w:rFonts w:ascii="Arial" w:hAnsi="Arial" w:cs="Arial"/>
          <w:sz w:val="20"/>
          <w:lang w:val="en-US"/>
        </w:rPr>
        <w:t>Explanation: R</w:t>
      </w:r>
      <w:r w:rsidRPr="000D0899">
        <w:rPr>
          <w:rFonts w:ascii="Arial" w:hAnsi="Arial" w:cs="Arial"/>
          <w:sz w:val="20"/>
          <w:vertAlign w:val="superscript"/>
          <w:lang w:val="en-US"/>
        </w:rPr>
        <w:t>2</w:t>
      </w:r>
      <w:r w:rsidRPr="000D0899">
        <w:rPr>
          <w:rFonts w:ascii="Arial" w:hAnsi="Arial" w:cs="Arial"/>
          <w:sz w:val="20"/>
          <w:lang w:val="en-US"/>
        </w:rPr>
        <w:t>X – explained variance of X, metabolite concentration dataset; R</w:t>
      </w:r>
      <w:r w:rsidRPr="000D0899">
        <w:rPr>
          <w:rFonts w:ascii="Arial" w:hAnsi="Arial" w:cs="Arial"/>
          <w:sz w:val="20"/>
          <w:vertAlign w:val="superscript"/>
          <w:lang w:val="en-US"/>
        </w:rPr>
        <w:t>2</w:t>
      </w:r>
      <w:r w:rsidRPr="000D0899">
        <w:rPr>
          <w:rFonts w:ascii="Arial" w:hAnsi="Arial" w:cs="Arial"/>
          <w:sz w:val="20"/>
          <w:lang w:val="en-US"/>
        </w:rPr>
        <w:t xml:space="preserve">Y – explained variance of Y, </w:t>
      </w:r>
      <w:r w:rsidRPr="000D0899">
        <w:rPr>
          <w:rStyle w:val="apple-style-span"/>
          <w:rFonts w:ascii="Arial" w:hAnsi="Arial" w:cs="Arial"/>
          <w:sz w:val="20"/>
          <w:lang w:val="en-US"/>
        </w:rPr>
        <w:t xml:space="preserve">DSS challenge status of samples; </w:t>
      </w:r>
      <w:r w:rsidRPr="000D0899">
        <w:rPr>
          <w:rFonts w:ascii="Arial" w:hAnsi="Arial" w:cs="Arial"/>
          <w:sz w:val="20"/>
          <w:lang w:val="en-US"/>
        </w:rPr>
        <w:t>Q</w:t>
      </w:r>
      <w:r w:rsidRPr="000D0899">
        <w:rPr>
          <w:rFonts w:ascii="Arial" w:hAnsi="Arial" w:cs="Arial"/>
          <w:sz w:val="20"/>
          <w:vertAlign w:val="superscript"/>
          <w:lang w:val="en-US"/>
        </w:rPr>
        <w:t>2</w:t>
      </w:r>
      <w:r w:rsidRPr="000D0899">
        <w:rPr>
          <w:rFonts w:ascii="Arial" w:hAnsi="Arial" w:cs="Arial"/>
          <w:sz w:val="20"/>
          <w:lang w:val="en-US"/>
        </w:rPr>
        <w:t>Y – predicted variance of Y estimated using cross-validation.</w:t>
      </w:r>
    </w:p>
    <w:p w:rsidR="005E4B57" w:rsidRPr="005214D3" w:rsidRDefault="005E4B57" w:rsidP="005E4B57">
      <w:pPr>
        <w:autoSpaceDE w:val="0"/>
        <w:autoSpaceDN w:val="0"/>
        <w:adjustRightInd w:val="0"/>
        <w:spacing w:after="0" w:line="480" w:lineRule="auto"/>
        <w:jc w:val="both"/>
        <w:rPr>
          <w:rFonts w:ascii="Arial" w:hAnsi="Arial" w:cs="Arial"/>
          <w:b/>
          <w:lang w:val="en-US"/>
        </w:rPr>
      </w:pPr>
      <w:proofErr w:type="spellStart"/>
      <w:r w:rsidRPr="00A829ED">
        <w:rPr>
          <w:rFonts w:ascii="Arial" w:hAnsi="Arial" w:cs="Arial"/>
          <w:b/>
          <w:lang w:val="en-US"/>
        </w:rPr>
        <w:t>Metabolomic</w:t>
      </w:r>
      <w:proofErr w:type="spellEnd"/>
      <w:r w:rsidRPr="00A829ED">
        <w:rPr>
          <w:rFonts w:ascii="Arial" w:hAnsi="Arial" w:cs="Arial"/>
          <w:b/>
          <w:lang w:val="en-US"/>
        </w:rPr>
        <w:t xml:space="preserve"> analyses of plasma samples</w:t>
      </w:r>
    </w:p>
    <w:p w:rsidR="005E4B57" w:rsidRDefault="005E4B57" w:rsidP="005E4B57">
      <w:pPr>
        <w:autoSpaceDE w:val="0"/>
        <w:autoSpaceDN w:val="0"/>
        <w:adjustRightInd w:val="0"/>
        <w:spacing w:after="0" w:line="480" w:lineRule="auto"/>
        <w:jc w:val="both"/>
        <w:rPr>
          <w:rFonts w:ascii="Arial" w:hAnsi="Arial" w:cs="Arial"/>
          <w:lang w:val="en-US"/>
        </w:rPr>
      </w:pPr>
      <w:r>
        <w:rPr>
          <w:rFonts w:ascii="Arial" w:hAnsi="Arial" w:cs="Arial"/>
          <w:lang w:val="en-US"/>
        </w:rPr>
        <w:t xml:space="preserve">Blood samples were collected from each mouse post-mortem during the necropsy. Blood samples were then centrifuged at 5000 rpm at room temperature for 10 minutes to plasma collection and frozen. Plasma </w:t>
      </w:r>
      <w:r w:rsidRPr="004F31E0">
        <w:rPr>
          <w:rFonts w:ascii="Arial" w:hAnsi="Arial" w:cs="Arial"/>
          <w:color w:val="000000"/>
          <w:lang w:val="en-US"/>
        </w:rPr>
        <w:t>samples were</w:t>
      </w:r>
      <w:r>
        <w:rPr>
          <w:rFonts w:ascii="Arial" w:hAnsi="Arial" w:cs="Arial"/>
          <w:color w:val="000000"/>
          <w:lang w:val="en-US"/>
        </w:rPr>
        <w:t xml:space="preserve"> </w:t>
      </w:r>
      <w:r w:rsidRPr="004F31E0">
        <w:rPr>
          <w:rFonts w:ascii="Arial" w:hAnsi="Arial" w:cs="Arial"/>
          <w:color w:val="000000"/>
          <w:lang w:val="en-US"/>
        </w:rPr>
        <w:t xml:space="preserve">thawed and filtered using 3-kDa </w:t>
      </w:r>
      <w:proofErr w:type="spellStart"/>
      <w:r w:rsidRPr="004F31E0">
        <w:rPr>
          <w:rFonts w:ascii="Arial" w:hAnsi="Arial" w:cs="Arial"/>
          <w:color w:val="000000"/>
          <w:lang w:val="en-US"/>
        </w:rPr>
        <w:t>Nanosep</w:t>
      </w:r>
      <w:proofErr w:type="spellEnd"/>
      <w:r w:rsidRPr="004F31E0">
        <w:rPr>
          <w:rFonts w:ascii="Arial" w:hAnsi="Arial" w:cs="Arial"/>
          <w:color w:val="000000"/>
          <w:lang w:val="en-US"/>
        </w:rPr>
        <w:t xml:space="preserve"> </w:t>
      </w:r>
      <w:proofErr w:type="spellStart"/>
      <w:r w:rsidRPr="004F31E0">
        <w:rPr>
          <w:rFonts w:ascii="Arial" w:hAnsi="Arial" w:cs="Arial"/>
          <w:color w:val="000000"/>
          <w:lang w:val="en-US"/>
        </w:rPr>
        <w:t>microcentrifuge</w:t>
      </w:r>
      <w:proofErr w:type="spellEnd"/>
      <w:r w:rsidRPr="004F31E0">
        <w:rPr>
          <w:rFonts w:ascii="Arial" w:hAnsi="Arial" w:cs="Arial"/>
          <w:color w:val="000000"/>
          <w:lang w:val="en-US"/>
        </w:rPr>
        <w:t xml:space="preserve"> filters to remove proteins. Samples were brought to 400 </w:t>
      </w:r>
      <w:r w:rsidRPr="00A30BA4">
        <w:rPr>
          <w:rFonts w:ascii="Arial" w:hAnsi="Arial" w:cs="Arial"/>
          <w:color w:val="000000"/>
        </w:rPr>
        <w:t>μ</w:t>
      </w:r>
      <w:r w:rsidRPr="004F31E0">
        <w:rPr>
          <w:rFonts w:ascii="Arial" w:hAnsi="Arial" w:cs="Arial"/>
          <w:color w:val="000000"/>
          <w:lang w:val="en-US"/>
        </w:rPr>
        <w:t xml:space="preserve">l by addition of D20, 80 </w:t>
      </w:r>
      <w:r w:rsidRPr="00535EB8">
        <w:rPr>
          <w:rFonts w:ascii="Arial" w:hAnsi="Arial" w:cs="Arial"/>
          <w:color w:val="000000"/>
        </w:rPr>
        <w:t>μ</w:t>
      </w:r>
      <w:r w:rsidRPr="004F31E0">
        <w:rPr>
          <w:rFonts w:ascii="Arial" w:hAnsi="Arial" w:cs="Arial"/>
          <w:color w:val="000000"/>
          <w:lang w:val="en-US"/>
        </w:rPr>
        <w:t xml:space="preserve">l of phosphate buffer containing </w:t>
      </w:r>
      <w:proofErr w:type="spellStart"/>
      <w:r w:rsidRPr="004F31E0">
        <w:rPr>
          <w:rFonts w:ascii="Arial" w:hAnsi="Arial" w:cs="Arial"/>
          <w:color w:val="000000"/>
          <w:lang w:val="en-US"/>
        </w:rPr>
        <w:t>dimethyl-silapentane-sulphonate</w:t>
      </w:r>
      <w:proofErr w:type="spellEnd"/>
      <w:r w:rsidRPr="004F31E0">
        <w:rPr>
          <w:rFonts w:ascii="Arial" w:hAnsi="Arial" w:cs="Arial"/>
          <w:color w:val="000000"/>
          <w:lang w:val="en-US"/>
        </w:rPr>
        <w:t xml:space="preserve"> (final concentration 0.5 </w:t>
      </w:r>
      <w:proofErr w:type="spellStart"/>
      <w:r w:rsidRPr="004F31E0">
        <w:rPr>
          <w:rFonts w:ascii="Arial" w:hAnsi="Arial" w:cs="Arial"/>
          <w:color w:val="000000"/>
          <w:lang w:val="en-US"/>
        </w:rPr>
        <w:t>mM</w:t>
      </w:r>
      <w:proofErr w:type="spellEnd"/>
      <w:r w:rsidRPr="004F31E0">
        <w:rPr>
          <w:rFonts w:ascii="Arial" w:hAnsi="Arial" w:cs="Arial"/>
          <w:color w:val="000000"/>
          <w:lang w:val="en-US"/>
        </w:rPr>
        <w:t xml:space="preserve">) and 10 </w:t>
      </w:r>
      <w:r w:rsidRPr="00535EB8">
        <w:rPr>
          <w:rFonts w:ascii="Arial" w:hAnsi="Arial" w:cs="Arial"/>
          <w:color w:val="000000"/>
        </w:rPr>
        <w:t>μ</w:t>
      </w:r>
      <w:r w:rsidRPr="004F31E0">
        <w:rPr>
          <w:rFonts w:ascii="Arial" w:hAnsi="Arial" w:cs="Arial"/>
          <w:color w:val="000000"/>
          <w:lang w:val="en-US"/>
        </w:rPr>
        <w:t xml:space="preserve">l </w:t>
      </w:r>
      <w:proofErr w:type="gramStart"/>
      <w:r w:rsidRPr="004F31E0">
        <w:rPr>
          <w:rFonts w:ascii="Arial" w:hAnsi="Arial" w:cs="Arial"/>
          <w:color w:val="000000"/>
          <w:lang w:val="en-US"/>
        </w:rPr>
        <w:t xml:space="preserve">of 1M sodium </w:t>
      </w:r>
      <w:proofErr w:type="spellStart"/>
      <w:r w:rsidRPr="004F31E0">
        <w:rPr>
          <w:rFonts w:ascii="Arial" w:hAnsi="Arial" w:cs="Arial"/>
          <w:color w:val="000000"/>
          <w:lang w:val="en-US"/>
        </w:rPr>
        <w:t>azide</w:t>
      </w:r>
      <w:proofErr w:type="spellEnd"/>
      <w:proofErr w:type="gramEnd"/>
      <w:r w:rsidRPr="004F31E0">
        <w:rPr>
          <w:rFonts w:ascii="Arial" w:hAnsi="Arial" w:cs="Arial"/>
          <w:color w:val="000000"/>
          <w:lang w:val="en-US"/>
        </w:rPr>
        <w:t>. The final sample pH was adjusted to 7 ± 0.01.</w:t>
      </w:r>
      <w:r>
        <w:rPr>
          <w:rFonts w:ascii="Arial" w:hAnsi="Arial" w:cs="Arial"/>
          <w:color w:val="000000"/>
          <w:lang w:val="en-US"/>
        </w:rPr>
        <w:t xml:space="preserve"> </w:t>
      </w:r>
      <w:r w:rsidRPr="004F31E0">
        <w:rPr>
          <w:rFonts w:ascii="Arial" w:hAnsi="Arial" w:cs="Arial"/>
          <w:color w:val="000000"/>
          <w:lang w:val="en-US"/>
        </w:rPr>
        <w:t xml:space="preserve">All NMR experiments were performed on a </w:t>
      </w:r>
      <w:proofErr w:type="spellStart"/>
      <w:r w:rsidRPr="004F31E0">
        <w:rPr>
          <w:rFonts w:ascii="Arial" w:hAnsi="Arial" w:cs="Arial"/>
          <w:color w:val="000000"/>
          <w:lang w:val="en-US"/>
        </w:rPr>
        <w:t>Bruker</w:t>
      </w:r>
      <w:proofErr w:type="spellEnd"/>
      <w:r w:rsidRPr="004F31E0">
        <w:rPr>
          <w:rFonts w:ascii="Arial" w:hAnsi="Arial" w:cs="Arial"/>
          <w:color w:val="000000"/>
          <w:lang w:val="en-US"/>
        </w:rPr>
        <w:t xml:space="preserve"> </w:t>
      </w:r>
      <w:proofErr w:type="spellStart"/>
      <w:r w:rsidRPr="004F31E0">
        <w:rPr>
          <w:rFonts w:ascii="Arial" w:hAnsi="Arial" w:cs="Arial"/>
          <w:color w:val="000000"/>
          <w:lang w:val="en-US"/>
        </w:rPr>
        <w:t>Avance</w:t>
      </w:r>
      <w:proofErr w:type="spellEnd"/>
      <w:r w:rsidRPr="004F31E0">
        <w:rPr>
          <w:rFonts w:ascii="Arial" w:hAnsi="Arial" w:cs="Arial"/>
          <w:color w:val="000000"/>
          <w:lang w:val="en-US"/>
        </w:rPr>
        <w:t xml:space="preserve"> 600 spectrometer (</w:t>
      </w:r>
      <w:proofErr w:type="spellStart"/>
      <w:r w:rsidRPr="004F31E0">
        <w:rPr>
          <w:rFonts w:ascii="Arial" w:hAnsi="Arial" w:cs="Arial"/>
          <w:color w:val="000000"/>
          <w:lang w:val="en-US"/>
        </w:rPr>
        <w:t>Bruker</w:t>
      </w:r>
      <w:proofErr w:type="spellEnd"/>
      <w:r w:rsidRPr="004F31E0">
        <w:rPr>
          <w:rFonts w:ascii="Arial" w:hAnsi="Arial" w:cs="Arial"/>
          <w:color w:val="000000"/>
          <w:lang w:val="en-US"/>
        </w:rPr>
        <w:t xml:space="preserve"> </w:t>
      </w:r>
      <w:proofErr w:type="spellStart"/>
      <w:r w:rsidRPr="004F31E0">
        <w:rPr>
          <w:rFonts w:ascii="Arial" w:hAnsi="Arial" w:cs="Arial"/>
          <w:color w:val="000000"/>
          <w:lang w:val="en-US"/>
        </w:rPr>
        <w:t>Bio</w:t>
      </w:r>
      <w:r>
        <w:rPr>
          <w:rFonts w:ascii="Arial" w:hAnsi="Arial" w:cs="Arial"/>
          <w:color w:val="000000"/>
          <w:lang w:val="en-US"/>
        </w:rPr>
        <w:t>S</w:t>
      </w:r>
      <w:r w:rsidRPr="004F31E0">
        <w:rPr>
          <w:rFonts w:ascii="Arial" w:hAnsi="Arial" w:cs="Arial"/>
          <w:color w:val="000000"/>
          <w:lang w:val="en-US"/>
        </w:rPr>
        <w:t>pin</w:t>
      </w:r>
      <w:proofErr w:type="spellEnd"/>
      <w:r>
        <w:rPr>
          <w:rFonts w:ascii="Arial" w:hAnsi="Arial" w:cs="Arial"/>
          <w:color w:val="000000"/>
          <w:lang w:val="en-US"/>
        </w:rPr>
        <w:t xml:space="preserve"> Ltd., </w:t>
      </w:r>
      <w:proofErr w:type="spellStart"/>
      <w:r>
        <w:rPr>
          <w:rFonts w:ascii="Arial" w:hAnsi="Arial" w:cs="Arial"/>
          <w:color w:val="000000"/>
          <w:lang w:val="en-US"/>
        </w:rPr>
        <w:t>EastMilton</w:t>
      </w:r>
      <w:proofErr w:type="spellEnd"/>
      <w:r>
        <w:rPr>
          <w:rFonts w:ascii="Arial" w:hAnsi="Arial" w:cs="Arial"/>
          <w:color w:val="000000"/>
          <w:lang w:val="en-US"/>
        </w:rPr>
        <w:t>, ON, Canada</w:t>
      </w:r>
      <w:r w:rsidRPr="004F31E0">
        <w:rPr>
          <w:rFonts w:ascii="Arial" w:hAnsi="Arial" w:cs="Arial"/>
          <w:color w:val="000000"/>
          <w:lang w:val="en-US"/>
        </w:rPr>
        <w:t xml:space="preserve">) operating at 600.22 MHz and equipped with a 5-mm TXI probe at 298 K. Regular one-dimensional proton NMR spectra were acquired using a standard </w:t>
      </w:r>
      <w:proofErr w:type="spellStart"/>
      <w:r w:rsidRPr="004F31E0">
        <w:rPr>
          <w:rFonts w:ascii="Arial" w:hAnsi="Arial" w:cs="Arial"/>
          <w:color w:val="000000"/>
          <w:lang w:val="en-US"/>
        </w:rPr>
        <w:t>Bruker</w:t>
      </w:r>
      <w:proofErr w:type="spellEnd"/>
      <w:r w:rsidRPr="004F31E0">
        <w:rPr>
          <w:rFonts w:ascii="Arial" w:hAnsi="Arial" w:cs="Arial"/>
          <w:color w:val="000000"/>
          <w:lang w:val="en-US"/>
        </w:rPr>
        <w:t xml:space="preserve"> pulse sequence </w:t>
      </w:r>
      <w:r>
        <w:rPr>
          <w:rFonts w:ascii="Arial" w:hAnsi="Arial" w:cs="Arial"/>
          <w:color w:val="000000"/>
          <w:lang w:val="en-US"/>
        </w:rPr>
        <w:t>(</w:t>
      </w:r>
      <w:r w:rsidRPr="004F31E0">
        <w:rPr>
          <w:rFonts w:ascii="Arial" w:hAnsi="Arial" w:cs="Arial"/>
          <w:color w:val="000000"/>
          <w:lang w:val="en-US"/>
        </w:rPr>
        <w:t>prnoesy1d</w:t>
      </w:r>
      <w:r>
        <w:rPr>
          <w:rFonts w:ascii="Arial" w:hAnsi="Arial" w:cs="Arial"/>
          <w:color w:val="000000"/>
          <w:lang w:val="en-US"/>
        </w:rPr>
        <w:t>)</w:t>
      </w:r>
      <w:r w:rsidRPr="004F31E0">
        <w:rPr>
          <w:rFonts w:ascii="Arial" w:hAnsi="Arial" w:cs="Arial"/>
          <w:color w:val="000000"/>
          <w:lang w:val="en-US"/>
        </w:rPr>
        <w:t xml:space="preserve"> in which the residual </w:t>
      </w:r>
      <w:r>
        <w:rPr>
          <w:rFonts w:ascii="Arial" w:hAnsi="Arial" w:cs="Arial"/>
          <w:color w:val="000000"/>
          <w:lang w:val="en-US"/>
        </w:rPr>
        <w:t>water</w:t>
      </w:r>
      <w:r w:rsidRPr="004F31E0">
        <w:rPr>
          <w:rFonts w:ascii="Arial" w:hAnsi="Arial" w:cs="Arial"/>
          <w:color w:val="000000"/>
          <w:lang w:val="en-US"/>
        </w:rPr>
        <w:t xml:space="preserve"> peak</w:t>
      </w:r>
      <w:r>
        <w:rPr>
          <w:rFonts w:ascii="Arial" w:hAnsi="Arial" w:cs="Arial"/>
          <w:color w:val="000000"/>
          <w:lang w:val="en-US"/>
        </w:rPr>
        <w:t xml:space="preserve"> </w:t>
      </w:r>
      <w:r w:rsidRPr="004F31E0">
        <w:rPr>
          <w:rFonts w:ascii="Arial" w:hAnsi="Arial" w:cs="Arial"/>
          <w:color w:val="000000"/>
          <w:lang w:val="en-US"/>
        </w:rPr>
        <w:t xml:space="preserve">was irradiated during the relaxation delay of 1.0 second and during the mixing time of 100 millisecond. A total of 1,024 scans were collected into 63,536 data points over a spectral width of 12,195 Hz with a 90-degree pulse width and a 5-second repetition time. A line broadening of 0.2 Hz was applied to the spectra prior to Fourier transformation, phasing, and baseline correction. Additional 2-dimensional NMR experiments were performed for the purpose of confirming chemical shift assignments, including </w:t>
      </w:r>
      <w:proofErr w:type="spellStart"/>
      <w:r w:rsidRPr="004F31E0">
        <w:rPr>
          <w:rFonts w:ascii="Arial" w:hAnsi="Arial" w:cs="Arial"/>
          <w:color w:val="000000"/>
          <w:lang w:val="en-US"/>
        </w:rPr>
        <w:t>homonuclear</w:t>
      </w:r>
      <w:proofErr w:type="spellEnd"/>
      <w:r w:rsidRPr="004F31E0">
        <w:rPr>
          <w:rFonts w:ascii="Arial" w:hAnsi="Arial" w:cs="Arial"/>
          <w:color w:val="000000"/>
          <w:lang w:val="en-US"/>
        </w:rPr>
        <w:t xml:space="preserve"> total correlation spectroscopy (2D </w:t>
      </w:r>
      <w:r w:rsidRPr="004F31E0">
        <w:rPr>
          <w:rFonts w:ascii="Arial" w:hAnsi="Arial" w:cs="Arial"/>
          <w:color w:val="000000"/>
          <w:vertAlign w:val="superscript"/>
          <w:lang w:val="en-US"/>
        </w:rPr>
        <w:t>1</w:t>
      </w:r>
      <w:r w:rsidRPr="004F31E0">
        <w:rPr>
          <w:rFonts w:ascii="Arial" w:hAnsi="Arial" w:cs="Arial"/>
          <w:color w:val="000000"/>
          <w:lang w:val="en-US"/>
        </w:rPr>
        <w:t>H-</w:t>
      </w:r>
      <w:r w:rsidRPr="004F31E0">
        <w:rPr>
          <w:rFonts w:ascii="Arial" w:hAnsi="Arial" w:cs="Arial"/>
          <w:color w:val="000000"/>
          <w:vertAlign w:val="superscript"/>
          <w:lang w:val="en-US"/>
        </w:rPr>
        <w:t>1</w:t>
      </w:r>
      <w:r w:rsidRPr="004F31E0">
        <w:rPr>
          <w:rFonts w:ascii="Arial" w:hAnsi="Arial" w:cs="Arial"/>
          <w:color w:val="000000"/>
          <w:lang w:val="en-US"/>
        </w:rPr>
        <w:t xml:space="preserve">H TOCSY) and </w:t>
      </w:r>
      <w:proofErr w:type="spellStart"/>
      <w:r w:rsidRPr="004F31E0">
        <w:rPr>
          <w:rFonts w:ascii="Arial" w:hAnsi="Arial" w:cs="Arial"/>
          <w:color w:val="000000"/>
          <w:lang w:val="en-US"/>
        </w:rPr>
        <w:t>heteronuclear</w:t>
      </w:r>
      <w:proofErr w:type="spellEnd"/>
      <w:r w:rsidRPr="004F31E0">
        <w:rPr>
          <w:rFonts w:ascii="Arial" w:hAnsi="Arial" w:cs="Arial"/>
          <w:color w:val="000000"/>
          <w:lang w:val="en-US"/>
        </w:rPr>
        <w:t xml:space="preserve"> single quantum coherence spectroscopy (2D </w:t>
      </w:r>
      <w:r w:rsidRPr="004F31E0">
        <w:rPr>
          <w:rFonts w:ascii="Arial" w:hAnsi="Arial" w:cs="Arial"/>
          <w:color w:val="000000"/>
          <w:vertAlign w:val="superscript"/>
          <w:lang w:val="en-US"/>
        </w:rPr>
        <w:t>1</w:t>
      </w:r>
      <w:r w:rsidRPr="004F31E0">
        <w:rPr>
          <w:rFonts w:ascii="Arial" w:hAnsi="Arial" w:cs="Arial"/>
          <w:color w:val="000000"/>
          <w:lang w:val="en-US"/>
        </w:rPr>
        <w:t>H-</w:t>
      </w:r>
      <w:r w:rsidRPr="004F31E0">
        <w:rPr>
          <w:rFonts w:ascii="Arial" w:hAnsi="Arial" w:cs="Arial"/>
          <w:color w:val="000000"/>
          <w:vertAlign w:val="superscript"/>
          <w:lang w:val="en-US"/>
        </w:rPr>
        <w:t>13</w:t>
      </w:r>
      <w:r w:rsidRPr="004F31E0">
        <w:rPr>
          <w:rFonts w:ascii="Arial" w:hAnsi="Arial" w:cs="Arial"/>
          <w:color w:val="000000"/>
          <w:lang w:val="en-US"/>
        </w:rPr>
        <w:t xml:space="preserve">C HSQC), using standard </w:t>
      </w:r>
      <w:proofErr w:type="spellStart"/>
      <w:r w:rsidRPr="004F31E0">
        <w:rPr>
          <w:rFonts w:ascii="Arial" w:hAnsi="Arial" w:cs="Arial"/>
          <w:color w:val="000000"/>
          <w:lang w:val="en-US"/>
        </w:rPr>
        <w:t>Bruker</w:t>
      </w:r>
      <w:proofErr w:type="spellEnd"/>
      <w:r w:rsidRPr="004F31E0">
        <w:rPr>
          <w:rFonts w:ascii="Arial" w:hAnsi="Arial" w:cs="Arial"/>
          <w:color w:val="000000"/>
          <w:lang w:val="en-US"/>
        </w:rPr>
        <w:t xml:space="preserve"> pulse programs. </w:t>
      </w:r>
      <w:r>
        <w:rPr>
          <w:rFonts w:ascii="Arial" w:hAnsi="Arial" w:cs="Arial"/>
          <w:lang w:val="en-US"/>
        </w:rPr>
        <w:t xml:space="preserve">Forty nine metabolites were assigned based on comparison of both </w:t>
      </w:r>
      <w:r w:rsidRPr="00535EB8">
        <w:rPr>
          <w:rFonts w:ascii="Arial" w:hAnsi="Arial" w:cs="Arial"/>
          <w:vertAlign w:val="superscript"/>
          <w:lang w:val="en-US"/>
        </w:rPr>
        <w:t>1</w:t>
      </w:r>
      <w:r>
        <w:rPr>
          <w:rFonts w:ascii="Arial" w:hAnsi="Arial" w:cs="Arial"/>
          <w:lang w:val="en-US"/>
        </w:rPr>
        <w:t xml:space="preserve">H and </w:t>
      </w:r>
      <w:r w:rsidRPr="00535EB8">
        <w:rPr>
          <w:rFonts w:ascii="Arial" w:hAnsi="Arial" w:cs="Arial"/>
          <w:vertAlign w:val="superscript"/>
          <w:lang w:val="en-US"/>
        </w:rPr>
        <w:t>13</w:t>
      </w:r>
      <w:r>
        <w:rPr>
          <w:rFonts w:ascii="Arial" w:hAnsi="Arial" w:cs="Arial"/>
          <w:lang w:val="en-US"/>
        </w:rPr>
        <w:t xml:space="preserve">C chemical shifts and spin-spin coupling constants with those of model compounds in Human </w:t>
      </w:r>
      <w:proofErr w:type="spellStart"/>
      <w:r>
        <w:rPr>
          <w:rFonts w:ascii="Arial" w:hAnsi="Arial" w:cs="Arial"/>
          <w:lang w:val="en-US"/>
        </w:rPr>
        <w:t>Metabolome</w:t>
      </w:r>
      <w:proofErr w:type="spellEnd"/>
      <w:r>
        <w:rPr>
          <w:rFonts w:ascii="Arial" w:hAnsi="Arial" w:cs="Arial"/>
          <w:lang w:val="en-US"/>
        </w:rPr>
        <w:t xml:space="preserve"> Database (HMDB)</w:t>
      </w:r>
      <w:r>
        <w:rPr>
          <w:rFonts w:ascii="Arial" w:hAnsi="Arial" w:cs="Arial"/>
          <w:lang w:val="en-US"/>
        </w:rPr>
        <w:fldChar w:fldCharType="begin">
          <w:fldData xml:space="preserve">PEVuZE5vdGU+PENpdGU+PEF1dGhvcj5XaXNoYXJ0PC9BdXRob3I+PFllYXI+MjAwOTwvWWVhcj48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</w:fldData>
        </w:fldChar>
      </w:r>
      <w:r>
        <w:rPr>
          <w:rFonts w:ascii="Arial" w:hAnsi="Arial" w:cs="Arial"/>
          <w:lang w:val="en-US"/>
        </w:rPr>
        <w:instrText xml:space="preserve"> ADDIN EN.CITE </w:instrText>
      </w:r>
      <w:r>
        <w:rPr>
          <w:rFonts w:ascii="Arial" w:hAnsi="Arial" w:cs="Arial"/>
          <w:lang w:val="en-US"/>
        </w:rPr>
        <w:fldChar w:fldCharType="begin">
          <w:fldData xml:space="preserve">PEVuZE5vdGU+PENpdGU+PEF1dGhvcj5XaXNoYXJ0PC9BdXRob3I+PFllYXI+MjAwOTwvWWVhcj48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</w:fldData>
        </w:fldChar>
      </w:r>
      <w:r>
        <w:rPr>
          <w:rFonts w:ascii="Arial" w:hAnsi="Arial" w:cs="Arial"/>
          <w:lang w:val="en-US"/>
        </w:rPr>
        <w:instrText xml:space="preserve"> ADDIN EN.CITE.DATA </w:instrText>
      </w:r>
      <w:r w:rsidRPr="00D41942">
        <w:rPr>
          <w:rFonts w:ascii="Arial" w:hAnsi="Arial" w:cs="Arial"/>
          <w:lang w:val="en-US"/>
        </w:rPr>
      </w:r>
      <w:r>
        <w:rPr>
          <w:rFonts w:ascii="Arial" w:hAnsi="Arial" w:cs="Arial"/>
          <w:lang w:val="en-US"/>
        </w:rPr>
        <w:fldChar w:fldCharType="end"/>
      </w:r>
      <w:r w:rsidRPr="00D41942">
        <w:rPr>
          <w:rFonts w:ascii="Arial" w:hAnsi="Arial" w:cs="Arial"/>
          <w:lang w:val="en-US"/>
        </w:rPr>
      </w:r>
      <w:r>
        <w:rPr>
          <w:rFonts w:ascii="Arial" w:hAnsi="Arial" w:cs="Arial"/>
          <w:lang w:val="en-US"/>
        </w:rPr>
        <w:fldChar w:fldCharType="separate"/>
      </w:r>
      <w:r w:rsidRPr="0097574B">
        <w:rPr>
          <w:rFonts w:ascii="Arial" w:hAnsi="Arial" w:cs="Arial"/>
          <w:noProof/>
          <w:vertAlign w:val="superscript"/>
          <w:lang w:val="en-US"/>
        </w:rPr>
        <w:t>2</w:t>
      </w:r>
      <w:r>
        <w:rPr>
          <w:rFonts w:ascii="Arial" w:hAnsi="Arial" w:cs="Arial"/>
          <w:lang w:val="en-US"/>
        </w:rPr>
        <w:fldChar w:fldCharType="end"/>
      </w:r>
      <w:r>
        <w:rPr>
          <w:rFonts w:ascii="Arial" w:hAnsi="Arial" w:cs="Arial"/>
          <w:lang w:val="en-US"/>
        </w:rPr>
        <w:t xml:space="preserve"> and </w:t>
      </w:r>
      <w:proofErr w:type="spellStart"/>
      <w:r>
        <w:rPr>
          <w:rFonts w:ascii="Arial" w:hAnsi="Arial" w:cs="Arial"/>
          <w:lang w:val="en-US"/>
        </w:rPr>
        <w:t>Chenomx</w:t>
      </w:r>
      <w:proofErr w:type="spellEnd"/>
      <w:r>
        <w:rPr>
          <w:rFonts w:ascii="Arial" w:hAnsi="Arial" w:cs="Arial"/>
          <w:lang w:val="en-US"/>
        </w:rPr>
        <w:t xml:space="preserve"> NMR Suite 7.0 software (</w:t>
      </w:r>
      <w:proofErr w:type="spellStart"/>
      <w:r>
        <w:rPr>
          <w:rFonts w:ascii="Arial" w:hAnsi="Arial" w:cs="Arial"/>
          <w:lang w:val="en-US"/>
        </w:rPr>
        <w:t>Chenomx</w:t>
      </w:r>
      <w:proofErr w:type="spellEnd"/>
      <w:r>
        <w:rPr>
          <w:rFonts w:ascii="Arial" w:hAnsi="Arial" w:cs="Arial"/>
          <w:lang w:val="en-US"/>
        </w:rPr>
        <w:t xml:space="preserve"> Inc., Edmonton, Canada). Metabolites were quantified using the targeted profiling approach as implemented in the </w:t>
      </w:r>
      <w:proofErr w:type="spellStart"/>
      <w:r>
        <w:rPr>
          <w:rFonts w:ascii="Arial" w:hAnsi="Arial" w:cs="Arial"/>
          <w:lang w:val="en-US"/>
        </w:rPr>
        <w:t>Chenomx</w:t>
      </w:r>
      <w:proofErr w:type="spellEnd"/>
      <w:r>
        <w:rPr>
          <w:rFonts w:ascii="Arial" w:hAnsi="Arial" w:cs="Arial"/>
          <w:lang w:val="en-US"/>
        </w:rPr>
        <w:t xml:space="preserve"> software </w:t>
      </w:r>
      <w:r>
        <w:rPr>
          <w:rFonts w:ascii="Arial" w:hAnsi="Arial" w:cs="Arial"/>
          <w:lang w:val="en-US"/>
        </w:rPr>
        <w:fldChar w:fldCharType="begin"/>
      </w:r>
      <w:r>
        <w:rPr>
          <w:rFonts w:ascii="Arial" w:hAnsi="Arial" w:cs="Arial"/>
          <w:lang w:val="en-US"/>
        </w:rPr>
        <w:instrText xml:space="preserve"> ADDIN EN.CITE &lt;EndNote&gt;&lt;Cite&gt;&lt;Author&gt;Weijie&lt;/Author&gt;&lt;Year&gt;2006&lt;/Year&gt;&lt;RecNum&gt;1908&lt;/RecNum&gt;&lt;record&gt;&lt;rec-number&gt;1908&lt;/rec-number&gt;&lt;foreign-keys&gt;&lt;key app="EN" db-id="2p5w9tv919sdsbet5aw5z2drvdxerdzp5p5d"&gt;1908&lt;/key&gt;&lt;/foreign-keys&gt;&lt;ref-type name="Journal Article"&gt;17&lt;/ref-type&gt;&lt;contributors&gt;&lt;authors&gt;&lt;author&gt;Weijie, A.M.&lt;/author&gt;&lt;author&gt;Newton, J.&lt;/author&gt;&lt;author&gt;Mercier, P.&lt;/author&gt;&lt;author&gt;Carlson, E.&lt;/author&gt;&lt;author&gt;Slupsky, C.M.&lt;/author&gt;&lt;/authors&gt;&lt;/contributors&gt;&lt;titles&gt;&lt;title&gt;Targeted profiling: quantitative analysis of 1H NMR metabolomics data&lt;/title&gt;&lt;secondary-title&gt;Anal Chem&lt;/secondary-title&gt;&lt;/titles&gt;&lt;periodical&gt;&lt;full-title&gt;Anal Chem&lt;/full-title&gt;&lt;/periodical&gt;&lt;pages&gt;4430-4442&lt;/pages&gt;&lt;number&gt;78&lt;/number&gt;&lt;dates&gt;&lt;year&gt;2006&lt;/year&gt;&lt;/dates&gt;&lt;urls&gt;&lt;/urls&gt;&lt;/record&gt;&lt;/Cite&gt;&lt;/EndNote&gt;</w:instrText>
      </w:r>
      <w:r>
        <w:rPr>
          <w:rFonts w:ascii="Arial" w:hAnsi="Arial" w:cs="Arial"/>
          <w:lang w:val="en-US"/>
        </w:rPr>
        <w:fldChar w:fldCharType="separate"/>
      </w:r>
      <w:r w:rsidRPr="0097574B">
        <w:rPr>
          <w:rFonts w:ascii="Arial" w:hAnsi="Arial" w:cs="Arial"/>
          <w:noProof/>
          <w:vertAlign w:val="superscript"/>
          <w:lang w:val="en-US"/>
        </w:rPr>
        <w:t>3</w:t>
      </w:r>
      <w:r>
        <w:rPr>
          <w:rFonts w:ascii="Arial" w:hAnsi="Arial" w:cs="Arial"/>
          <w:lang w:val="en-US"/>
        </w:rPr>
        <w:fldChar w:fldCharType="end"/>
      </w:r>
      <w:r>
        <w:rPr>
          <w:rFonts w:ascii="Arial" w:hAnsi="Arial" w:cs="Arial"/>
          <w:lang w:val="en-US"/>
        </w:rPr>
        <w:t xml:space="preserve">. </w:t>
      </w:r>
      <w:r>
        <w:rPr>
          <w:rFonts w:ascii="Arial" w:hAnsi="Arial" w:cs="Arial"/>
          <w:bCs/>
          <w:color w:val="000000"/>
          <w:lang w:val="en-US" w:eastAsia="es-ES"/>
        </w:rPr>
        <w:t xml:space="preserve">The metabolite concentration data matrix was analyzed by pattern recognition methods within SIMCA-P (version 12.0, </w:t>
      </w:r>
      <w:proofErr w:type="spellStart"/>
      <w:r>
        <w:rPr>
          <w:rFonts w:ascii="Arial" w:hAnsi="Arial" w:cs="Arial"/>
          <w:bCs/>
          <w:color w:val="000000"/>
          <w:lang w:val="en-US" w:eastAsia="es-ES"/>
        </w:rPr>
        <w:t>Umetrics</w:t>
      </w:r>
      <w:proofErr w:type="spellEnd"/>
      <w:r>
        <w:rPr>
          <w:rFonts w:ascii="Arial" w:hAnsi="Arial" w:cs="Arial"/>
          <w:bCs/>
          <w:color w:val="000000"/>
          <w:lang w:val="en-US" w:eastAsia="es-ES"/>
        </w:rPr>
        <w:t xml:space="preserve">). A supervised O-PLS-DA approach was chosen as previously described </w:t>
      </w:r>
      <w:r>
        <w:rPr>
          <w:rFonts w:ascii="Arial" w:hAnsi="Arial" w:cs="Arial"/>
          <w:bCs/>
          <w:color w:val="000000"/>
          <w:lang w:val="en-US" w:eastAsia="es-ES"/>
        </w:rPr>
        <w:fldChar w:fldCharType="begin"/>
      </w:r>
      <w:r>
        <w:rPr>
          <w:rFonts w:ascii="Arial" w:hAnsi="Arial" w:cs="Arial"/>
          <w:bCs/>
          <w:color w:val="000000"/>
          <w:lang w:val="en-US" w:eastAsia="es-ES"/>
        </w:rPr>
        <w:instrText xml:space="preserve"> ADDIN EN.CITE &lt;EndNote&gt;&lt;Cite&gt;&lt;Author&gt;Trygg&lt;/Author&gt;&lt;Year&gt;2007&lt;/Year&gt;&lt;RecNum&gt;1909&lt;/RecNum&gt;&lt;record&gt;&lt;rec-number&gt;1909&lt;/rec-number&gt;&lt;foreign-keys&gt;&lt;key app="EN" db-id="2p5w9tv919sdsbet5aw5z2drvdxerdzp5p5d"&gt;1909&lt;/key&gt;&lt;/foreign-keys&gt;&lt;ref-type name="Journal Article"&gt;17&lt;/ref-type&gt;&lt;contributors&gt;&lt;authors&gt;&lt;author&gt;Trygg, J.&lt;/author&gt;&lt;author&gt;Holmes, E.&lt;/author&gt;&lt;author&gt;Lundstedt, T.&lt;/author&gt;&lt;/authors&gt;&lt;/contributors&gt;&lt;auth-address&gt;Research Group for Chemometrics, Institute of Chemistry, Umea University, Sweden.&lt;/auth-address&gt;&lt;titles&gt;&lt;title&gt;Chemometrics in metabonomics&lt;/title&gt;&lt;secondary-title&gt;J Proteome Res&lt;/secondary-title&gt;&lt;/titles&gt;&lt;periodical&gt;&lt;full-title&gt;J Proteome Res&lt;/full-title&gt;&lt;/periodical&gt;&lt;pages&gt;469-79&lt;/pages&gt;&lt;volume&gt;6&lt;/volume&gt;&lt;number&gt;2&lt;/number&gt;&lt;edition&gt;2007/02/03&lt;/edition&gt;&lt;keywords&gt;&lt;keyword&gt;Kinetics&lt;/keyword&gt;&lt;keyword&gt;Least-Squares Analysis&lt;/keyword&gt;&lt;keyword&gt;*Metabolism&lt;/keyword&gt;&lt;keyword&gt;Models, Statistical&lt;/keyword&gt;&lt;keyword&gt;Multivariate Analysis&lt;/keyword&gt;&lt;keyword&gt;Proteins/*chemistry/*metabolism&lt;/keyword&gt;&lt;/keywords&gt;&lt;dates&gt;&lt;year&gt;2007&lt;/year&gt;&lt;pub-dates&gt;&lt;date&gt;Feb&lt;/date&gt;&lt;/pub-dates&gt;&lt;/dates&gt;&lt;isbn&gt;1535-3893 (Print)&amp;#xD;1535-3893 (Linking)&lt;/isbn&gt;&lt;accession-num&gt;17269704&lt;/accession-num&gt;&lt;urls&gt;&lt;related-urls&gt;&lt;url&gt;http://www.ncbi.nlm.nih.gov/entrez/query.fcgi?cmd=Retrieve&amp;amp;db=PubMed&amp;amp;dopt=Citation&amp;amp;list_uids=17269704&lt;/url&gt;&lt;/related-urls&gt;&lt;/urls&gt;&lt;electronic-resource-num&gt;10.1021/pr060594q&lt;/electronic-resource-num&gt;&lt;language&gt;eng&lt;/language&gt;&lt;/record&gt;&lt;/Cite&gt;&lt;/EndNote&gt;</w:instrText>
      </w:r>
      <w:r>
        <w:rPr>
          <w:rFonts w:ascii="Arial" w:hAnsi="Arial" w:cs="Arial"/>
          <w:bCs/>
          <w:color w:val="000000"/>
          <w:lang w:val="en-US" w:eastAsia="es-ES"/>
        </w:rPr>
        <w:fldChar w:fldCharType="separate"/>
      </w:r>
      <w:r w:rsidRPr="0097574B">
        <w:rPr>
          <w:rFonts w:ascii="Arial" w:hAnsi="Arial" w:cs="Arial"/>
          <w:bCs/>
          <w:noProof/>
          <w:color w:val="000000"/>
          <w:vertAlign w:val="superscript"/>
          <w:lang w:val="en-US" w:eastAsia="es-ES"/>
        </w:rPr>
        <w:t>4</w:t>
      </w:r>
      <w:r>
        <w:rPr>
          <w:rFonts w:ascii="Arial" w:hAnsi="Arial" w:cs="Arial"/>
          <w:bCs/>
          <w:color w:val="000000"/>
          <w:lang w:val="en-US" w:eastAsia="es-ES"/>
        </w:rPr>
        <w:fldChar w:fldCharType="end"/>
      </w:r>
      <w:r>
        <w:rPr>
          <w:rFonts w:ascii="Arial" w:hAnsi="Arial" w:cs="Arial"/>
          <w:bCs/>
          <w:color w:val="000000"/>
          <w:lang w:val="en-US" w:eastAsia="es-ES"/>
        </w:rPr>
        <w:t xml:space="preserve">. </w:t>
      </w:r>
    </w:p>
    <w:p w:rsidR="005E4B57" w:rsidRPr="00413F7E" w:rsidRDefault="005E4B57" w:rsidP="005E4B57">
      <w:pPr>
        <w:rPr>
          <w:b/>
          <w:lang w:val="en-US"/>
        </w:rPr>
      </w:pPr>
      <w:r w:rsidRPr="00413F7E">
        <w:rPr>
          <w:b/>
          <w:lang w:val="en-US"/>
        </w:rPr>
        <w:t>References</w:t>
      </w:r>
    </w:p>
    <w:p w:rsidR="005E4B57" w:rsidRPr="001A08FF" w:rsidRDefault="005E4B57" w:rsidP="005E4B57">
      <w:pPr>
        <w:spacing w:after="0" w:line="240" w:lineRule="auto"/>
        <w:ind w:left="720" w:hanging="720"/>
        <w:rPr>
          <w:noProof/>
          <w:lang w:val="en-US"/>
        </w:rPr>
      </w:pPr>
      <w:r>
        <w:fldChar w:fldCharType="begin"/>
      </w:r>
      <w:r w:rsidRPr="00413F7E">
        <w:rPr>
          <w:lang w:val="en-US"/>
        </w:rPr>
        <w:instrText xml:space="preserve"> ADDIN EN.REFLIST </w:instrText>
      </w:r>
      <w:r>
        <w:fldChar w:fldCharType="separate"/>
      </w:r>
      <w:r w:rsidRPr="001A08FF">
        <w:rPr>
          <w:noProof/>
          <w:lang w:val="en-US"/>
        </w:rPr>
        <w:t>1.</w:t>
      </w:r>
      <w:r w:rsidRPr="001A08FF">
        <w:rPr>
          <w:noProof/>
          <w:lang w:val="en-US"/>
        </w:rPr>
        <w:tab/>
        <w:t>Evans NP, Misyak SA, Schmelz EM, Guri AJ, Hontecillas R, Bassaganya-Riera J. Conjugated linoleic acid ameliorates inflammation-induced colorectal cancer in mice through activation of PPARgamma. J Nutr 2010;140:515-21.</w:t>
      </w:r>
    </w:p>
    <w:p w:rsidR="005E4B57" w:rsidRPr="001A08FF" w:rsidRDefault="005E4B57" w:rsidP="005E4B57">
      <w:pPr>
        <w:spacing w:after="0" w:line="240" w:lineRule="auto"/>
        <w:ind w:left="720" w:hanging="720"/>
        <w:rPr>
          <w:noProof/>
          <w:lang w:val="en-US"/>
        </w:rPr>
      </w:pPr>
      <w:r w:rsidRPr="001A08FF">
        <w:rPr>
          <w:noProof/>
          <w:lang w:val="en-US"/>
        </w:rPr>
        <w:t>2.</w:t>
      </w:r>
      <w:r w:rsidRPr="001A08FF">
        <w:rPr>
          <w:noProof/>
          <w:lang w:val="en-US"/>
        </w:rPr>
        <w:tab/>
        <w:t>Wishart DS, Knox C, Guo AC, Eisner R, Young N, Gautam B, Hau DD, Psychogios N, Dong E, Bouatra S, Mandal R, Sinelnikov I, Xia J, Jia L, Cruz JA, Lim E, Sobsey CA, Shrivastava S, Huang P, Liu P, Fang L, Peng J, Fradette R, Cheng D, Tzur D, Clements M, Lewis A, De Souza A, Zuniga A, Dawe M, Xiong Y, Clive D, Greiner R, Nazyrova A, Shaykhutdinov R, Li L, Vogel HJ, Forsythe I. HMDB: a knowledgebase for the human metabolome. Nucleic Acids Res 2009;37:D603-10.</w:t>
      </w:r>
    </w:p>
    <w:p w:rsidR="005E4B57" w:rsidRPr="001A08FF" w:rsidRDefault="005E4B57" w:rsidP="005E4B57">
      <w:pPr>
        <w:spacing w:after="0" w:line="240" w:lineRule="auto"/>
        <w:ind w:left="720" w:hanging="720"/>
        <w:rPr>
          <w:noProof/>
          <w:lang w:val="en-US"/>
        </w:rPr>
      </w:pPr>
      <w:r w:rsidRPr="001A08FF">
        <w:rPr>
          <w:noProof/>
          <w:lang w:val="en-US"/>
        </w:rPr>
        <w:t>3.</w:t>
      </w:r>
      <w:r w:rsidRPr="001A08FF">
        <w:rPr>
          <w:noProof/>
          <w:lang w:val="en-US"/>
        </w:rPr>
        <w:tab/>
        <w:t>Weijie AM, Newton J, Mercier P, Carlson E, Slupsky CM. Targeted profiling: quantitative analysis of 1H NMR metabolomics data. Anal Chem 2006:4430-4442.</w:t>
      </w:r>
    </w:p>
    <w:p w:rsidR="005E4B57" w:rsidRPr="001A08FF" w:rsidRDefault="005E4B57" w:rsidP="005E4B57">
      <w:pPr>
        <w:spacing w:after="0" w:line="240" w:lineRule="auto"/>
        <w:ind w:left="720" w:hanging="720"/>
        <w:rPr>
          <w:noProof/>
          <w:lang w:val="en-US"/>
        </w:rPr>
      </w:pPr>
      <w:r w:rsidRPr="001A08FF">
        <w:rPr>
          <w:noProof/>
          <w:lang w:val="en-US"/>
        </w:rPr>
        <w:t>4.</w:t>
      </w:r>
      <w:r w:rsidRPr="001A08FF">
        <w:rPr>
          <w:noProof/>
          <w:lang w:val="en-US"/>
        </w:rPr>
        <w:tab/>
        <w:t>Trygg J, Holmes E, Lundstedt T. Chemometrics in metabonomics. J Proteome Res 2007;6:469-79.</w:t>
      </w:r>
    </w:p>
    <w:p w:rsidR="005E4B57" w:rsidRDefault="005E4B57" w:rsidP="005E4B57">
      <w:pPr>
        <w:spacing w:after="0" w:line="240" w:lineRule="auto"/>
        <w:ind w:left="720" w:hanging="720"/>
        <w:rPr>
          <w:noProof/>
          <w:lang w:val="en-US"/>
        </w:rPr>
      </w:pPr>
    </w:p>
    <w:p w:rsidR="00763F0D" w:rsidRDefault="005E4B57">
      <w:r>
        <w:fldChar w:fldCharType="end"/>
      </w:r>
    </w:p>
    <w:sectPr w:rsidR="00763F0D" w:rsidSect="003732B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splitPgBreakAndParaMark/>
  </w:compat>
  <w:rsids>
    <w:rsidRoot w:val="005E4B57"/>
    <w:rsid w:val="005E4B57"/>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B57"/>
    <w:pPr>
      <w:spacing w:after="200" w:line="276" w:lineRule="auto"/>
    </w:pPr>
    <w:rPr>
      <w:rFonts w:ascii="Calibri" w:eastAsia="Times New Roman" w:hAnsi="Calibri" w:cs="Times New Roman"/>
      <w:sz w:val="22"/>
      <w:szCs w:val="22"/>
      <w:lang w:val="es-E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style-span">
    <w:name w:val="apple-style-span"/>
    <w:basedOn w:val="DefaultParagraphFont"/>
    <w:rsid w:val="005E4B57"/>
    <w:rPr>
      <w:rFonts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839</Words>
  <Characters>4786</Characters>
  <Application>Microsoft Word 12.1.0</Application>
  <DocSecurity>0</DocSecurity>
  <Lines>39</Lines>
  <Paragraphs>9</Paragraphs>
  <ScaleCrop>false</ScaleCrop>
  <Company>NT</Company>
  <LinksUpToDate>false</LinksUpToDate>
  <CharactersWithSpaces>5877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 Bassaganya-Riera</dc:creator>
  <cp:keywords/>
  <cp:lastModifiedBy>Josep Bassaganya-Riera</cp:lastModifiedBy>
  <cp:revision>1</cp:revision>
  <dcterms:created xsi:type="dcterms:W3CDTF">2012-01-18T05:08:00Z</dcterms:created>
  <dcterms:modified xsi:type="dcterms:W3CDTF">2012-01-18T05:09:00Z</dcterms:modified>
</cp:coreProperties>
</file>