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EF" w:rsidRPr="00B804D8" w:rsidRDefault="00061AEF" w:rsidP="00061AEF">
      <w:pPr>
        <w:spacing w:after="0" w:line="240" w:lineRule="auto"/>
        <w:rPr>
          <w:rFonts w:ascii="Times New Roman" w:hAnsi="Times New Roman" w:cs="Times New Roman"/>
          <w:b/>
          <w:sz w:val="24"/>
          <w:szCs w:val="24"/>
          <w:lang w:eastAsia="ko-KR"/>
        </w:rPr>
      </w:pPr>
      <w:proofErr w:type="spellStart"/>
      <w:proofErr w:type="gramStart"/>
      <w:r w:rsidRPr="00B804D8">
        <w:rPr>
          <w:rFonts w:ascii="Times New Roman" w:hAnsi="Times New Roman" w:cs="Times New Roman"/>
          <w:b/>
          <w:sz w:val="24"/>
          <w:szCs w:val="24"/>
        </w:rPr>
        <w:t>Zwitterionic</w:t>
      </w:r>
      <w:proofErr w:type="spellEnd"/>
      <w:r w:rsidRPr="00B804D8">
        <w:rPr>
          <w:rFonts w:ascii="Times New Roman" w:hAnsi="Times New Roman" w:cs="Times New Roman"/>
          <w:b/>
          <w:sz w:val="24"/>
          <w:szCs w:val="24"/>
        </w:rPr>
        <w:t xml:space="preserve"> Chitosan Derivative, a New Biocompatible Pharmaceutical Excipient</w:t>
      </w:r>
      <w:r w:rsidRPr="00B804D8">
        <w:rPr>
          <w:rFonts w:ascii="Times New Roman" w:hAnsi="Times New Roman" w:cs="Times New Roman" w:hint="eastAsia"/>
          <w:b/>
          <w:sz w:val="24"/>
          <w:szCs w:val="24"/>
          <w:lang w:eastAsia="ko-KR"/>
        </w:rPr>
        <w:t xml:space="preserve">, </w:t>
      </w:r>
      <w:r w:rsidRPr="00B804D8">
        <w:rPr>
          <w:rFonts w:ascii="Times New Roman" w:hAnsi="Times New Roman" w:cs="Times New Roman"/>
          <w:b/>
          <w:sz w:val="24"/>
          <w:szCs w:val="24"/>
        </w:rPr>
        <w:t>Prevents Endotoxin-mediated Cytokine Release</w:t>
      </w:r>
      <w:r w:rsidRPr="00B804D8">
        <w:rPr>
          <w:rFonts w:ascii="Times New Roman" w:hAnsi="Times New Roman" w:cs="Times New Roman" w:hint="eastAsia"/>
          <w:b/>
          <w:sz w:val="24"/>
          <w:szCs w:val="24"/>
          <w:lang w:eastAsia="ko-KR"/>
        </w:rPr>
        <w:t>.</w:t>
      </w:r>
      <w:proofErr w:type="gramEnd"/>
    </w:p>
    <w:p w:rsidR="00061AEF" w:rsidRDefault="00061AEF" w:rsidP="00061AEF">
      <w:pPr>
        <w:spacing w:after="0" w:line="240" w:lineRule="auto"/>
        <w:rPr>
          <w:rFonts w:ascii="Times New Roman" w:hAnsi="Times New Roman" w:cs="Times New Roman"/>
          <w:sz w:val="24"/>
          <w:szCs w:val="24"/>
        </w:rPr>
      </w:pPr>
    </w:p>
    <w:p w:rsidR="00061AEF" w:rsidRDefault="00061AEF" w:rsidP="00061AEF">
      <w:pPr>
        <w:spacing w:after="0" w:line="240" w:lineRule="auto"/>
        <w:rPr>
          <w:rFonts w:ascii="Times New Roman" w:hAnsi="Times New Roman" w:cs="Times New Roman"/>
          <w:sz w:val="24"/>
          <w:szCs w:val="24"/>
        </w:rPr>
      </w:pPr>
    </w:p>
    <w:p w:rsidR="00061AEF" w:rsidRPr="0067065C" w:rsidRDefault="00061AEF" w:rsidP="00061AEF">
      <w:pPr>
        <w:spacing w:after="0" w:line="240" w:lineRule="auto"/>
        <w:rPr>
          <w:rFonts w:ascii="Times New Roman" w:hAnsi="Times New Roman" w:cs="Times New Roman"/>
          <w:sz w:val="24"/>
          <w:szCs w:val="24"/>
          <w:vertAlign w:val="superscript"/>
        </w:rPr>
      </w:pPr>
      <w:r w:rsidRPr="0067065C">
        <w:rPr>
          <w:rFonts w:ascii="Times New Roman" w:hAnsi="Times New Roman" w:cs="Times New Roman"/>
          <w:sz w:val="24"/>
          <w:szCs w:val="24"/>
        </w:rPr>
        <w:t>Gaurav Bajaj</w:t>
      </w:r>
      <w:r w:rsidRPr="0067065C">
        <w:rPr>
          <w:rFonts w:ascii="Times New Roman" w:hAnsi="Times New Roman" w:cs="Times New Roman"/>
          <w:sz w:val="24"/>
          <w:szCs w:val="24"/>
          <w:vertAlign w:val="superscript"/>
        </w:rPr>
        <w:t>1</w:t>
      </w:r>
      <w:r w:rsidRPr="0067065C">
        <w:rPr>
          <w:rFonts w:ascii="Times New Roman" w:hAnsi="Times New Roman" w:cs="Times New Roman"/>
          <w:sz w:val="24"/>
          <w:szCs w:val="24"/>
        </w:rPr>
        <w:t>, W</w:t>
      </w:r>
      <w:r>
        <w:rPr>
          <w:rFonts w:ascii="Times New Roman" w:hAnsi="Times New Roman" w:cs="Times New Roman"/>
          <w:sz w:val="24"/>
          <w:szCs w:val="24"/>
        </w:rPr>
        <w:t xml:space="preserve">illiam </w:t>
      </w:r>
      <w:r w:rsidRPr="0067065C">
        <w:rPr>
          <w:rFonts w:ascii="Times New Roman" w:hAnsi="Times New Roman" w:cs="Times New Roman"/>
          <w:sz w:val="24"/>
          <w:szCs w:val="24"/>
        </w:rPr>
        <w:t>G Van Alstine</w:t>
      </w:r>
      <w:r w:rsidRPr="0067065C">
        <w:rPr>
          <w:rFonts w:ascii="Times New Roman" w:hAnsi="Times New Roman" w:cs="Times New Roman"/>
          <w:sz w:val="24"/>
          <w:szCs w:val="24"/>
          <w:vertAlign w:val="superscript"/>
        </w:rPr>
        <w:t>2</w:t>
      </w:r>
      <w:r w:rsidRPr="0067065C">
        <w:rPr>
          <w:rFonts w:ascii="Times New Roman" w:hAnsi="Times New Roman" w:cs="Times New Roman"/>
          <w:sz w:val="24"/>
          <w:szCs w:val="24"/>
        </w:rPr>
        <w:t>, Yoon Yeo</w:t>
      </w:r>
      <w:r w:rsidRPr="0067065C">
        <w:rPr>
          <w:rFonts w:ascii="Times New Roman" w:hAnsi="Times New Roman" w:cs="Times New Roman"/>
          <w:sz w:val="24"/>
          <w:szCs w:val="24"/>
          <w:vertAlign w:val="superscript"/>
        </w:rPr>
        <w:t>1</w:t>
      </w:r>
      <w:proofErr w:type="gramStart"/>
      <w:r w:rsidRPr="0067065C">
        <w:rPr>
          <w:rFonts w:ascii="Times New Roman" w:hAnsi="Times New Roman" w:cs="Times New Roman"/>
          <w:sz w:val="24"/>
          <w:szCs w:val="24"/>
          <w:vertAlign w:val="superscript"/>
        </w:rPr>
        <w:t>,3</w:t>
      </w:r>
      <w:proofErr w:type="gramEnd"/>
      <w:r>
        <w:rPr>
          <w:rFonts w:ascii="Times New Roman" w:hAnsi="Times New Roman" w:cs="Times New Roman"/>
          <w:sz w:val="24"/>
          <w:szCs w:val="24"/>
          <w:vertAlign w:val="superscript"/>
        </w:rPr>
        <w:t>, *</w:t>
      </w:r>
      <w:r w:rsidRPr="0067065C">
        <w:rPr>
          <w:rFonts w:ascii="Times New Roman" w:hAnsi="Times New Roman" w:cs="Times New Roman"/>
          <w:sz w:val="24"/>
          <w:szCs w:val="24"/>
          <w:vertAlign w:val="superscript"/>
        </w:rPr>
        <w:t xml:space="preserve"> </w:t>
      </w:r>
    </w:p>
    <w:p w:rsidR="00061AEF" w:rsidRPr="0067065C" w:rsidRDefault="00061AEF" w:rsidP="00061AEF">
      <w:pPr>
        <w:spacing w:after="0" w:line="240" w:lineRule="auto"/>
        <w:ind w:firstLine="720"/>
        <w:rPr>
          <w:rFonts w:ascii="Times New Roman" w:hAnsi="Times New Roman" w:cs="Times New Roman"/>
          <w:sz w:val="24"/>
          <w:szCs w:val="24"/>
          <w:vertAlign w:val="superscript"/>
        </w:rPr>
      </w:pPr>
    </w:p>
    <w:p w:rsidR="00061AEF" w:rsidRDefault="00061AEF" w:rsidP="003324F9">
      <w:pPr>
        <w:autoSpaceDE w:val="0"/>
        <w:autoSpaceDN w:val="0"/>
        <w:adjustRightInd w:val="0"/>
        <w:spacing w:after="0" w:line="240" w:lineRule="auto"/>
        <w:rPr>
          <w:rFonts w:ascii="Times New Roman" w:hAnsi="Times New Roman" w:cs="Times New Roman"/>
          <w:b/>
          <w:sz w:val="24"/>
          <w:szCs w:val="24"/>
        </w:rPr>
      </w:pPr>
    </w:p>
    <w:p w:rsidR="00061AEF" w:rsidRDefault="00061AEF" w:rsidP="003324F9">
      <w:pPr>
        <w:autoSpaceDE w:val="0"/>
        <w:autoSpaceDN w:val="0"/>
        <w:adjustRightInd w:val="0"/>
        <w:spacing w:after="0" w:line="240" w:lineRule="auto"/>
        <w:rPr>
          <w:rFonts w:ascii="Times New Roman" w:hAnsi="Times New Roman" w:cs="Times New Roman"/>
          <w:b/>
          <w:sz w:val="24"/>
          <w:szCs w:val="24"/>
        </w:rPr>
      </w:pPr>
    </w:p>
    <w:p w:rsidR="003324F9" w:rsidRDefault="00515C9C" w:rsidP="003324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Table S</w:t>
      </w:r>
      <w:r w:rsidR="003324F9" w:rsidRPr="000D0208">
        <w:rPr>
          <w:rFonts w:ascii="Times New Roman" w:hAnsi="Times New Roman" w:cs="Times New Roman"/>
          <w:b/>
          <w:sz w:val="24"/>
          <w:szCs w:val="24"/>
        </w:rPr>
        <w:t>1.</w:t>
      </w:r>
      <w:r w:rsidR="003324F9">
        <w:rPr>
          <w:rFonts w:ascii="Times New Roman" w:hAnsi="Times New Roman" w:cs="Times New Roman"/>
          <w:sz w:val="24"/>
          <w:szCs w:val="24"/>
        </w:rPr>
        <w:t xml:space="preserve"> Chitosans used in this study and relevant properties</w:t>
      </w:r>
    </w:p>
    <w:tbl>
      <w:tblPr>
        <w:tblStyle w:val="TableGrid"/>
        <w:tblW w:w="0" w:type="auto"/>
        <w:tblLook w:val="04A0" w:firstRow="1" w:lastRow="0" w:firstColumn="1" w:lastColumn="0" w:noHBand="0" w:noVBand="1"/>
      </w:tblPr>
      <w:tblGrid>
        <w:gridCol w:w="2268"/>
        <w:gridCol w:w="2250"/>
        <w:gridCol w:w="1227"/>
        <w:gridCol w:w="1915"/>
        <w:gridCol w:w="1916"/>
      </w:tblGrid>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p>
        </w:tc>
        <w:tc>
          <w:tcPr>
            <w:tcW w:w="2250"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Description</w:t>
            </w:r>
          </w:p>
        </w:tc>
        <w:tc>
          <w:tcPr>
            <w:tcW w:w="1227"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Molecular weight</w:t>
            </w:r>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Degree of </w:t>
            </w:r>
            <w:proofErr w:type="spellStart"/>
            <w:r>
              <w:rPr>
                <w:rFonts w:ascii="Times New Roman" w:hAnsi="Times New Roman" w:cs="Times New Roman"/>
                <w:iCs/>
                <w:sz w:val="24"/>
                <w:szCs w:val="24"/>
              </w:rPr>
              <w:t>deacetylation</w:t>
            </w:r>
            <w:proofErr w:type="spellEnd"/>
            <w:r>
              <w:rPr>
                <w:rFonts w:ascii="Times New Roman" w:hAnsi="Times New Roman" w:cs="Times New Roman"/>
                <w:iCs/>
                <w:sz w:val="24"/>
                <w:szCs w:val="24"/>
              </w:rPr>
              <w:t xml:space="preserve"> (primary amine content)</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Aqueous solubility at pH 7.4</w:t>
            </w:r>
          </w:p>
        </w:tc>
      </w:tr>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Chitosan glutamate</w:t>
            </w:r>
          </w:p>
        </w:tc>
        <w:tc>
          <w:tcPr>
            <w:tcW w:w="2250"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Glutamate salt form</w:t>
            </w:r>
          </w:p>
        </w:tc>
        <w:tc>
          <w:tcPr>
            <w:tcW w:w="1227" w:type="dxa"/>
          </w:tcPr>
          <w:p w:rsidR="003324F9" w:rsidRPr="002302BB" w:rsidRDefault="003324F9" w:rsidP="004A5C3F">
            <w:pPr>
              <w:autoSpaceDE w:val="0"/>
              <w:autoSpaceDN w:val="0"/>
              <w:adjustRightInd w:val="0"/>
              <w:rPr>
                <w:rFonts w:ascii="Times New Roman" w:hAnsi="Times New Roman" w:cs="Times New Roman"/>
                <w:iCs/>
                <w:sz w:val="24"/>
                <w:szCs w:val="24"/>
                <w:vertAlign w:val="superscript"/>
              </w:rPr>
            </w:pPr>
            <w:r>
              <w:rPr>
                <w:rFonts w:ascii="Times New Roman" w:hAnsi="Times New Roman" w:cs="Times New Roman"/>
                <w:iCs/>
                <w:sz w:val="24"/>
                <w:szCs w:val="24"/>
              </w:rPr>
              <w:t xml:space="preserve">200 </w:t>
            </w:r>
            <w:proofErr w:type="spellStart"/>
            <w:r>
              <w:rPr>
                <w:rFonts w:ascii="Times New Roman" w:hAnsi="Times New Roman" w:cs="Times New Roman"/>
                <w:iCs/>
                <w:sz w:val="24"/>
                <w:szCs w:val="24"/>
              </w:rPr>
              <w:t>kDa</w:t>
            </w:r>
            <w:r>
              <w:rPr>
                <w:rFonts w:ascii="Times New Roman" w:hAnsi="Times New Roman" w:cs="Times New Roman"/>
                <w:iCs/>
                <w:sz w:val="24"/>
                <w:szCs w:val="24"/>
                <w:vertAlign w:val="superscript"/>
              </w:rPr>
              <w:t>a</w:t>
            </w:r>
            <w:proofErr w:type="spellEnd"/>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sidRPr="00635FC8">
              <w:rPr>
                <w:rFonts w:ascii="Times New Roman" w:hAnsi="Times New Roman" w:cs="Times New Roman"/>
                <w:sz w:val="24"/>
                <w:szCs w:val="24"/>
              </w:rPr>
              <w:t>75–90%</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Insoluble</w:t>
            </w:r>
          </w:p>
        </w:tc>
      </w:tr>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Glycol chitosan</w:t>
            </w:r>
          </w:p>
        </w:tc>
        <w:tc>
          <w:tcPr>
            <w:tcW w:w="2250" w:type="dxa"/>
          </w:tcPr>
          <w:p w:rsidR="003324F9" w:rsidRDefault="003324F9" w:rsidP="004A5C3F">
            <w:pPr>
              <w:autoSpaceDE w:val="0"/>
              <w:autoSpaceDN w:val="0"/>
              <w:adjustRightInd w:val="0"/>
              <w:rPr>
                <w:rFonts w:ascii="Times New Roman" w:hAnsi="Times New Roman" w:cs="Times New Roman"/>
                <w:iCs/>
                <w:sz w:val="24"/>
                <w:szCs w:val="24"/>
              </w:rPr>
            </w:pPr>
            <w:r w:rsidRPr="005F7670">
              <w:rPr>
                <w:rStyle w:val="bodytext1"/>
                <w:rFonts w:ascii="Times New Roman" w:hAnsi="Times New Roman"/>
                <w:sz w:val="24"/>
                <w:szCs w:val="24"/>
              </w:rPr>
              <w:t>2-hydroxyethylether derivative of chitosan</w:t>
            </w:r>
          </w:p>
        </w:tc>
        <w:tc>
          <w:tcPr>
            <w:tcW w:w="1227" w:type="dxa"/>
          </w:tcPr>
          <w:p w:rsidR="003324F9" w:rsidRPr="002302BB" w:rsidRDefault="003324F9" w:rsidP="004A5C3F">
            <w:pPr>
              <w:autoSpaceDE w:val="0"/>
              <w:autoSpaceDN w:val="0"/>
              <w:adjustRightInd w:val="0"/>
              <w:rPr>
                <w:rFonts w:ascii="Times New Roman" w:hAnsi="Times New Roman" w:cs="Times New Roman"/>
                <w:iCs/>
                <w:sz w:val="24"/>
                <w:szCs w:val="24"/>
                <w:vertAlign w:val="superscript"/>
              </w:rPr>
            </w:pPr>
            <w:r>
              <w:rPr>
                <w:rFonts w:ascii="Times New Roman" w:hAnsi="Times New Roman" w:cs="Times New Roman"/>
                <w:iCs/>
                <w:sz w:val="24"/>
                <w:szCs w:val="24"/>
              </w:rPr>
              <w:t xml:space="preserve">82 </w:t>
            </w:r>
            <w:proofErr w:type="spellStart"/>
            <w:r>
              <w:rPr>
                <w:rFonts w:ascii="Times New Roman" w:hAnsi="Times New Roman" w:cs="Times New Roman"/>
                <w:iCs/>
                <w:sz w:val="24"/>
                <w:szCs w:val="24"/>
              </w:rPr>
              <w:t>kDa</w:t>
            </w:r>
            <w:r>
              <w:rPr>
                <w:rFonts w:ascii="Times New Roman" w:hAnsi="Times New Roman" w:cs="Times New Roman"/>
                <w:iCs/>
                <w:sz w:val="24"/>
                <w:szCs w:val="24"/>
                <w:vertAlign w:val="superscript"/>
              </w:rPr>
              <w:t>a</w:t>
            </w:r>
            <w:proofErr w:type="spellEnd"/>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83%</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Soluble</w:t>
            </w:r>
          </w:p>
        </w:tc>
      </w:tr>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LMCS</w:t>
            </w:r>
          </w:p>
        </w:tc>
        <w:tc>
          <w:tcPr>
            <w:tcW w:w="2250"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Parent of ZWC</w:t>
            </w:r>
          </w:p>
        </w:tc>
        <w:tc>
          <w:tcPr>
            <w:tcW w:w="1227" w:type="dxa"/>
          </w:tcPr>
          <w:p w:rsidR="003324F9" w:rsidRPr="002302BB" w:rsidRDefault="003324F9" w:rsidP="004A5C3F">
            <w:pPr>
              <w:autoSpaceDE w:val="0"/>
              <w:autoSpaceDN w:val="0"/>
              <w:adjustRightInd w:val="0"/>
              <w:rPr>
                <w:rFonts w:ascii="Times New Roman" w:hAnsi="Times New Roman" w:cs="Times New Roman"/>
                <w:iCs/>
                <w:sz w:val="24"/>
                <w:szCs w:val="24"/>
                <w:vertAlign w:val="superscript"/>
              </w:rPr>
            </w:pPr>
            <w:r>
              <w:rPr>
                <w:rFonts w:ascii="Times New Roman" w:hAnsi="Times New Roman" w:cs="Times New Roman"/>
                <w:iCs/>
                <w:sz w:val="24"/>
                <w:szCs w:val="24"/>
              </w:rPr>
              <w:t xml:space="preserve">15 </w:t>
            </w:r>
            <w:proofErr w:type="spellStart"/>
            <w:r>
              <w:rPr>
                <w:rFonts w:ascii="Times New Roman" w:hAnsi="Times New Roman" w:cs="Times New Roman"/>
                <w:iCs/>
                <w:sz w:val="24"/>
                <w:szCs w:val="24"/>
              </w:rPr>
              <w:t>kDa</w:t>
            </w:r>
            <w:r>
              <w:rPr>
                <w:rFonts w:ascii="Times New Roman" w:hAnsi="Times New Roman" w:cs="Times New Roman"/>
                <w:iCs/>
                <w:sz w:val="24"/>
                <w:szCs w:val="24"/>
                <w:vertAlign w:val="superscript"/>
              </w:rPr>
              <w:t>a</w:t>
            </w:r>
            <w:proofErr w:type="spellEnd"/>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Pr>
                <w:rFonts w:ascii="Times-Roman" w:hAnsi="Times-Roman" w:cs="Times-Roman"/>
                <w:sz w:val="24"/>
                <w:szCs w:val="24"/>
              </w:rPr>
              <w:t>87%</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Insoluble</w:t>
            </w:r>
          </w:p>
        </w:tc>
      </w:tr>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ZWC (An/Am=0.3)</w:t>
            </w:r>
          </w:p>
        </w:tc>
        <w:tc>
          <w:tcPr>
            <w:tcW w:w="2250" w:type="dxa"/>
          </w:tcPr>
          <w:p w:rsidR="003324F9" w:rsidRPr="00696C03" w:rsidRDefault="003324F9" w:rsidP="004A5C3F">
            <w:pPr>
              <w:autoSpaceDE w:val="0"/>
              <w:autoSpaceDN w:val="0"/>
              <w:adjustRightInd w:val="0"/>
              <w:rPr>
                <w:rFonts w:ascii="Times New Roman" w:hAnsi="Times New Roman" w:cs="Times New Roman"/>
                <w:iCs/>
                <w:sz w:val="24"/>
                <w:szCs w:val="24"/>
                <w:vertAlign w:val="superscript"/>
              </w:rPr>
            </w:pPr>
            <w:r>
              <w:rPr>
                <w:rFonts w:ascii="Times New Roman" w:hAnsi="Times New Roman" w:cs="Times New Roman"/>
                <w:iCs/>
                <w:sz w:val="24"/>
                <w:szCs w:val="24"/>
              </w:rPr>
              <w:t>&lt;29%</w:t>
            </w:r>
            <w:r>
              <w:rPr>
                <w:rFonts w:ascii="Times New Roman" w:hAnsi="Times New Roman" w:cs="Times New Roman"/>
                <w:iCs/>
                <w:sz w:val="24"/>
                <w:szCs w:val="24"/>
                <w:vertAlign w:val="superscript"/>
              </w:rPr>
              <w:t>b</w:t>
            </w:r>
          </w:p>
        </w:tc>
        <w:tc>
          <w:tcPr>
            <w:tcW w:w="1227"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~15 </w:t>
            </w:r>
            <w:proofErr w:type="spellStart"/>
            <w:r>
              <w:rPr>
                <w:rFonts w:ascii="Times New Roman" w:hAnsi="Times New Roman" w:cs="Times New Roman"/>
                <w:iCs/>
                <w:sz w:val="24"/>
                <w:szCs w:val="24"/>
              </w:rPr>
              <w:t>kDa</w:t>
            </w:r>
            <w:proofErr w:type="spellEnd"/>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&gt;58%</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Soluble</w:t>
            </w:r>
          </w:p>
        </w:tc>
      </w:tr>
      <w:tr w:rsidR="003324F9" w:rsidTr="004A5C3F">
        <w:tc>
          <w:tcPr>
            <w:tcW w:w="2268"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ZWC (An/Am=0.7)</w:t>
            </w:r>
          </w:p>
        </w:tc>
        <w:tc>
          <w:tcPr>
            <w:tcW w:w="2250" w:type="dxa"/>
          </w:tcPr>
          <w:p w:rsidR="003324F9" w:rsidRPr="00696C03" w:rsidRDefault="003324F9" w:rsidP="004A5C3F">
            <w:pPr>
              <w:autoSpaceDE w:val="0"/>
              <w:autoSpaceDN w:val="0"/>
              <w:adjustRightInd w:val="0"/>
              <w:rPr>
                <w:rFonts w:ascii="Times New Roman" w:hAnsi="Times New Roman" w:cs="Times New Roman"/>
                <w:iCs/>
                <w:sz w:val="24"/>
                <w:szCs w:val="24"/>
                <w:vertAlign w:val="superscript"/>
              </w:rPr>
            </w:pPr>
            <w:r>
              <w:rPr>
                <w:rFonts w:ascii="Times New Roman" w:hAnsi="Times New Roman" w:cs="Times New Roman"/>
                <w:iCs/>
                <w:sz w:val="24"/>
                <w:szCs w:val="24"/>
              </w:rPr>
              <w:t>&gt;52%</w:t>
            </w:r>
            <w:r>
              <w:rPr>
                <w:rFonts w:ascii="Times New Roman" w:hAnsi="Times New Roman" w:cs="Times New Roman"/>
                <w:iCs/>
                <w:sz w:val="24"/>
                <w:szCs w:val="24"/>
                <w:vertAlign w:val="superscript"/>
              </w:rPr>
              <w:t>b</w:t>
            </w:r>
          </w:p>
        </w:tc>
        <w:tc>
          <w:tcPr>
            <w:tcW w:w="1227"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~15 </w:t>
            </w:r>
            <w:proofErr w:type="spellStart"/>
            <w:r>
              <w:rPr>
                <w:rFonts w:ascii="Times New Roman" w:hAnsi="Times New Roman" w:cs="Times New Roman"/>
                <w:iCs/>
                <w:sz w:val="24"/>
                <w:szCs w:val="24"/>
              </w:rPr>
              <w:t>kDa</w:t>
            </w:r>
            <w:proofErr w:type="spellEnd"/>
          </w:p>
        </w:tc>
        <w:tc>
          <w:tcPr>
            <w:tcW w:w="1915"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&lt;35%</w:t>
            </w:r>
          </w:p>
        </w:tc>
        <w:tc>
          <w:tcPr>
            <w:tcW w:w="1916" w:type="dxa"/>
          </w:tcPr>
          <w:p w:rsidR="003324F9" w:rsidRDefault="003324F9" w:rsidP="004A5C3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Soluble</w:t>
            </w:r>
          </w:p>
        </w:tc>
      </w:tr>
    </w:tbl>
    <w:p w:rsidR="003324F9" w:rsidRDefault="003324F9" w:rsidP="003324F9">
      <w:pPr>
        <w:pStyle w:val="ListParagraph"/>
        <w:numPr>
          <w:ilvl w:val="0"/>
          <w:numId w:val="1"/>
        </w:num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Provided by the manufacturer.</w:t>
      </w:r>
    </w:p>
    <w:p w:rsidR="003324F9" w:rsidRPr="00057850" w:rsidRDefault="003324F9" w:rsidP="003324F9">
      <w:pPr>
        <w:pStyle w:val="ListParagraph"/>
        <w:numPr>
          <w:ilvl w:val="0"/>
          <w:numId w:val="1"/>
        </w:numPr>
        <w:autoSpaceDE w:val="0"/>
        <w:autoSpaceDN w:val="0"/>
        <w:adjustRightInd w:val="0"/>
        <w:rPr>
          <w:rFonts w:ascii="Times New Roman" w:eastAsia="Times New Roman" w:hAnsi="Times New Roman" w:cs="Times New Roman"/>
          <w:sz w:val="24"/>
          <w:szCs w:val="24"/>
        </w:rPr>
      </w:pPr>
      <w:r w:rsidRPr="00057850">
        <w:rPr>
          <w:rFonts w:ascii="Times New Roman" w:hAnsi="Times New Roman" w:cs="Times New Roman"/>
          <w:iCs/>
          <w:sz w:val="24"/>
          <w:szCs w:val="24"/>
        </w:rPr>
        <w:t xml:space="preserve">Estimated from the previous study </w:t>
      </w:r>
      <w:r w:rsidRPr="0005785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&lt;EndNote&gt;&lt;Cite&gt;&lt;Author&gt;Xu&lt;/Author&gt;&lt;Year&gt;2010&lt;/Year&gt;&lt;RecNum&gt;702&lt;/RecNum&gt;&lt;DisplayText&gt;[22]&lt;/DisplayText&gt;&lt;record&gt;&lt;rec-number&gt;702&lt;/rec-number&gt;&lt;foreign-keys&gt;&lt;key app="EN" db-id="xrxpf2dzjvfvzuex9z3vftszaeepp0zwzedp"&gt;702&lt;/key&gt;&lt;/foreign-keys&gt;&lt;ref-type name="Journal Article"&gt;17&lt;/ref-type&gt;&lt;contributors&gt;&lt;authors&gt;&lt;author&gt;Xu, P.&lt;/author&gt;&lt;author&gt;Bajaj, G.&lt;/author&gt;&lt;author&gt;Shugg, T.&lt;/author&gt;&lt;author&gt;Van Alstine, W. G.&lt;/author&gt;&lt;author&gt;Yeo, Y.&lt;/author&gt;&lt;/authors&gt;&lt;/contributors&gt;&lt;auth-address&gt;Department of Industrial and Physical Pharmacy, Department of Comparative Pathobiology, and Weldon School of Biomedical Engineering, Purdue University, West Lafayette, Indiana 47907, and Department of Pharmaceutical and Biomedical Sciences, South Carolina College of Pharmacy, University of South Carolina, 715 Sumter Street, Columbia, South Carolina 29208.&lt;/auth-address&gt;&lt;titles&gt;&lt;title&gt;Zwitterionic Chitosan Derivatives for pH-Sensitive Stealth Coating&lt;/title&gt;&lt;secondary-title&gt;Biomacromolecules&lt;/secondary-title&gt;&lt;/titles&gt;&lt;periodical&gt;&lt;full-title&gt;Biomacromolecules&lt;/full-title&gt;&lt;/periodical&gt;&lt;edition&gt;2010/08/11&lt;/edition&gt;&lt;dates&gt;&lt;year&gt;2010&lt;/year&gt;&lt;pub-dates&gt;&lt;date&gt;Aug 10&lt;/date&gt;&lt;/pub-dates&gt;&lt;/dates&gt;&lt;isbn&gt;1526-4602 (Electronic)&amp;#xD;1525-7797 (Linking)&lt;/isbn&gt;&lt;accession-num&gt;20695636&lt;/accession-num&gt;&lt;urls&gt;&lt;related-urls&gt;&lt;url&gt;http://www.ncbi.nlm.nih.gov/entrez/query.fcgi?cmd=Retrieve&amp;amp;db=PubMed&amp;amp;dopt=Citation&amp;amp;list_uids=20695636&lt;/url&gt;&lt;/related-urls&gt;&lt;/urls&gt;&lt;electronic-resource-num&gt;10.1021/bm100481r&lt;/electronic-resource-num&gt;&lt;language&gt;Eng&lt;/language&gt;&lt;/record&gt;&lt;/Cite&gt;&lt;/EndNote&gt;</w:instrText>
      </w:r>
      <w:r w:rsidRPr="0005785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Xu, 2010 #702" w:history="1">
        <w:r>
          <w:rPr>
            <w:rFonts w:ascii="Times New Roman" w:hAnsi="Times New Roman" w:cs="Times New Roman"/>
            <w:noProof/>
            <w:sz w:val="24"/>
            <w:szCs w:val="24"/>
          </w:rPr>
          <w:t>22</w:t>
        </w:r>
      </w:hyperlink>
      <w:r>
        <w:rPr>
          <w:rFonts w:ascii="Times New Roman" w:hAnsi="Times New Roman" w:cs="Times New Roman"/>
          <w:noProof/>
          <w:sz w:val="24"/>
          <w:szCs w:val="24"/>
        </w:rPr>
        <w:t>]</w:t>
      </w:r>
      <w:r w:rsidRPr="00057850">
        <w:rPr>
          <w:rFonts w:ascii="Times New Roman" w:hAnsi="Times New Roman" w:cs="Times New Roman"/>
          <w:sz w:val="24"/>
          <w:szCs w:val="24"/>
        </w:rPr>
        <w:fldChar w:fldCharType="end"/>
      </w:r>
      <w:r w:rsidRPr="00057850">
        <w:rPr>
          <w:rFonts w:ascii="Times New Roman" w:hAnsi="Times New Roman" w:cs="Times New Roman"/>
          <w:sz w:val="24"/>
          <w:szCs w:val="24"/>
        </w:rPr>
        <w:t xml:space="preserve">.  </w:t>
      </w:r>
    </w:p>
    <w:p w:rsidR="00431C8D" w:rsidRDefault="00431C8D">
      <w:bookmarkStart w:id="0" w:name="_GoBack"/>
      <w:bookmarkEnd w:id="0"/>
    </w:p>
    <w:sectPr w:rsidR="00431C8D" w:rsidSect="00A9307B">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54" w:rsidRDefault="00352154">
      <w:pPr>
        <w:spacing w:after="0" w:line="240" w:lineRule="auto"/>
      </w:pPr>
      <w:r>
        <w:separator/>
      </w:r>
    </w:p>
  </w:endnote>
  <w:endnote w:type="continuationSeparator" w:id="0">
    <w:p w:rsidR="00352154" w:rsidRDefault="0035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92304939"/>
      <w:docPartObj>
        <w:docPartGallery w:val="Page Numbers (Bottom of Page)"/>
        <w:docPartUnique/>
      </w:docPartObj>
    </w:sdtPr>
    <w:sdtEndPr/>
    <w:sdtContent>
      <w:p w:rsidR="00215703" w:rsidRPr="00025F13" w:rsidRDefault="00061AEF">
        <w:pPr>
          <w:pStyle w:val="Footer"/>
          <w:jc w:val="center"/>
          <w:rPr>
            <w:rFonts w:ascii="Times New Roman" w:hAnsi="Times New Roman" w:cs="Times New Roman"/>
            <w:sz w:val="24"/>
          </w:rPr>
        </w:pPr>
        <w:r w:rsidRPr="00025F13">
          <w:rPr>
            <w:rFonts w:ascii="Times New Roman" w:hAnsi="Times New Roman" w:cs="Times New Roman"/>
            <w:sz w:val="24"/>
          </w:rPr>
          <w:fldChar w:fldCharType="begin"/>
        </w:r>
        <w:r w:rsidRPr="00025F13">
          <w:rPr>
            <w:rFonts w:ascii="Times New Roman" w:hAnsi="Times New Roman" w:cs="Times New Roman"/>
            <w:sz w:val="24"/>
          </w:rPr>
          <w:instrText xml:space="preserve"> PAGE   \* MERGEFORMAT </w:instrText>
        </w:r>
        <w:r w:rsidRPr="00025F13">
          <w:rPr>
            <w:rFonts w:ascii="Times New Roman" w:hAnsi="Times New Roman" w:cs="Times New Roman"/>
            <w:sz w:val="24"/>
          </w:rPr>
          <w:fldChar w:fldCharType="separate"/>
        </w:r>
        <w:r w:rsidR="00515C9C">
          <w:rPr>
            <w:rFonts w:ascii="Times New Roman" w:hAnsi="Times New Roman" w:cs="Times New Roman"/>
            <w:noProof/>
            <w:sz w:val="24"/>
          </w:rPr>
          <w:t>1</w:t>
        </w:r>
        <w:r w:rsidRPr="00025F13">
          <w:rPr>
            <w:rFonts w:ascii="Times New Roman" w:hAnsi="Times New Roman" w:cs="Times New Roman"/>
            <w:sz w:val="24"/>
          </w:rPr>
          <w:fldChar w:fldCharType="end"/>
        </w:r>
      </w:p>
    </w:sdtContent>
  </w:sdt>
  <w:p w:rsidR="00215703" w:rsidRDefault="00352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54" w:rsidRDefault="00352154">
      <w:pPr>
        <w:spacing w:after="0" w:line="240" w:lineRule="auto"/>
      </w:pPr>
      <w:r>
        <w:separator/>
      </w:r>
    </w:p>
  </w:footnote>
  <w:footnote w:type="continuationSeparator" w:id="0">
    <w:p w:rsidR="00352154" w:rsidRDefault="00352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E68BE"/>
    <w:multiLevelType w:val="hybridMultilevel"/>
    <w:tmpl w:val="3A983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F9"/>
    <w:rsid w:val="00061AEF"/>
    <w:rsid w:val="002C45E6"/>
    <w:rsid w:val="003324F9"/>
    <w:rsid w:val="00352154"/>
    <w:rsid w:val="00431C8D"/>
    <w:rsid w:val="00515C9C"/>
    <w:rsid w:val="00F85A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F9"/>
    <w:pPr>
      <w:spacing w:after="200" w:line="276" w:lineRule="auto"/>
    </w:pPr>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F9"/>
    <w:pPr>
      <w:spacing w:after="0" w:line="240" w:lineRule="auto"/>
      <w:ind w:left="720"/>
      <w:contextualSpacing/>
    </w:pPr>
    <w:rPr>
      <w:rFonts w:ascii="Arial" w:hAnsi="Arial" w:cs="Arial"/>
      <w:lang w:eastAsia="ko-KR"/>
    </w:rPr>
  </w:style>
  <w:style w:type="paragraph" w:styleId="Footer">
    <w:name w:val="footer"/>
    <w:basedOn w:val="Normal"/>
    <w:link w:val="FooterChar"/>
    <w:uiPriority w:val="99"/>
    <w:unhideWhenUsed/>
    <w:rsid w:val="0033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F9"/>
    <w:rPr>
      <w:rFonts w:asciiTheme="minorHAnsi" w:hAnsiTheme="minorHAnsi" w:cstheme="minorBidi"/>
      <w:lang w:eastAsia="en-US"/>
    </w:rPr>
  </w:style>
  <w:style w:type="character" w:customStyle="1" w:styleId="bodytext1">
    <w:name w:val="bodytext1"/>
    <w:basedOn w:val="DefaultParagraphFont"/>
    <w:uiPriority w:val="99"/>
    <w:rsid w:val="003324F9"/>
    <w:rPr>
      <w:rFonts w:ascii="Verdana" w:hAnsi="Verdana" w:cs="Times New Roman"/>
      <w:color w:val="000000"/>
      <w:sz w:val="18"/>
      <w:szCs w:val="18"/>
      <w:u w:val="none"/>
      <w:effect w:val="none"/>
    </w:rPr>
  </w:style>
  <w:style w:type="table" w:styleId="TableGrid">
    <w:name w:val="Table Grid"/>
    <w:basedOn w:val="TableNormal"/>
    <w:uiPriority w:val="59"/>
    <w:rsid w:val="003324F9"/>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F9"/>
    <w:pPr>
      <w:spacing w:after="200" w:line="276" w:lineRule="auto"/>
    </w:pPr>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F9"/>
    <w:pPr>
      <w:spacing w:after="0" w:line="240" w:lineRule="auto"/>
      <w:ind w:left="720"/>
      <w:contextualSpacing/>
    </w:pPr>
    <w:rPr>
      <w:rFonts w:ascii="Arial" w:hAnsi="Arial" w:cs="Arial"/>
      <w:lang w:eastAsia="ko-KR"/>
    </w:rPr>
  </w:style>
  <w:style w:type="paragraph" w:styleId="Footer">
    <w:name w:val="footer"/>
    <w:basedOn w:val="Normal"/>
    <w:link w:val="FooterChar"/>
    <w:uiPriority w:val="99"/>
    <w:unhideWhenUsed/>
    <w:rsid w:val="0033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F9"/>
    <w:rPr>
      <w:rFonts w:asciiTheme="minorHAnsi" w:hAnsiTheme="minorHAnsi" w:cstheme="minorBidi"/>
      <w:lang w:eastAsia="en-US"/>
    </w:rPr>
  </w:style>
  <w:style w:type="character" w:customStyle="1" w:styleId="bodytext1">
    <w:name w:val="bodytext1"/>
    <w:basedOn w:val="DefaultParagraphFont"/>
    <w:uiPriority w:val="99"/>
    <w:rsid w:val="003324F9"/>
    <w:rPr>
      <w:rFonts w:ascii="Verdana" w:hAnsi="Verdana" w:cs="Times New Roman"/>
      <w:color w:val="000000"/>
      <w:sz w:val="18"/>
      <w:szCs w:val="18"/>
      <w:u w:val="none"/>
      <w:effect w:val="none"/>
    </w:rPr>
  </w:style>
  <w:style w:type="table" w:styleId="TableGrid">
    <w:name w:val="Table Grid"/>
    <w:basedOn w:val="TableNormal"/>
    <w:uiPriority w:val="59"/>
    <w:rsid w:val="003324F9"/>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Yoon Yeo</dc:creator>
  <cp:lastModifiedBy>Yoon Yeo</cp:lastModifiedBy>
  <cp:revision>3</cp:revision>
  <dcterms:created xsi:type="dcterms:W3CDTF">2011-12-13T05:38:00Z</dcterms:created>
  <dcterms:modified xsi:type="dcterms:W3CDTF">2011-12-30T12:39:00Z</dcterms:modified>
</cp:coreProperties>
</file>