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</w:rPr>
      </w:pPr>
      <w:r w:rsidRPr="00D06338">
        <w:rPr>
          <w:rFonts w:ascii="Times" w:hAnsi="Times"/>
          <w:b/>
          <w:sz w:val="24"/>
          <w:szCs w:val="24"/>
        </w:rPr>
        <w:t>Table S1. Proteins identified in fluid-filled reservoirs by LC/MS.</w:t>
      </w:r>
      <w:r>
        <w:rPr>
          <w:rFonts w:ascii="Times" w:hAnsi="Times"/>
          <w:sz w:val="24"/>
          <w:szCs w:val="24"/>
        </w:rPr>
        <w:t xml:space="preserve"> </w:t>
      </w:r>
    </w:p>
    <w:p w:rsidR="00187C87" w:rsidRPr="00EE5215" w:rsidRDefault="00187C87" w:rsidP="00187C87">
      <w:pPr>
        <w:spacing w:after="0" w:line="480" w:lineRule="auto"/>
        <w:rPr>
          <w:sz w:val="24"/>
          <w:szCs w:val="24"/>
        </w:rPr>
      </w:pPr>
    </w:p>
    <w:tbl>
      <w:tblPr>
        <w:tblpPr w:leftFromText="180" w:rightFromText="180" w:vertAnchor="page" w:horzAnchor="page" w:tblpX="2263" w:tblpY="6541"/>
        <w:tblW w:w="6128" w:type="dxa"/>
        <w:tblLook w:val="04A0"/>
      </w:tblPr>
      <w:tblGrid>
        <w:gridCol w:w="2416"/>
        <w:gridCol w:w="1736"/>
        <w:gridCol w:w="1976"/>
      </w:tblGrid>
      <w:tr w:rsidR="00187C87" w:rsidRPr="00EE5215" w:rsidTr="00187C87">
        <w:trPr>
          <w:trHeight w:val="600"/>
        </w:trPr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protein match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# of peptides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proofErr w:type="spellStart"/>
            <w:r w:rsidRPr="00EE5215">
              <w:rPr>
                <w:color w:val="000000"/>
                <w:lang w:eastAsia="en-AU"/>
              </w:rPr>
              <w:t>SpectrumMill</w:t>
            </w:r>
            <w:proofErr w:type="spellEnd"/>
            <w:r w:rsidRPr="00EE5215">
              <w:rPr>
                <w:color w:val="000000"/>
                <w:lang w:eastAsia="en-AU"/>
              </w:rPr>
              <w:t xml:space="preserve"> score</w:t>
            </w:r>
          </w:p>
        </w:tc>
      </w:tr>
      <w:tr w:rsidR="00187C87" w:rsidRPr="00EE5215" w:rsidTr="00187C87">
        <w:trPr>
          <w:trHeight w:val="600"/>
        </w:trPr>
        <w:tc>
          <w:tcPr>
            <w:tcW w:w="24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GA_JG443736 (alpha-amylase homology)</w:t>
            </w:r>
            <w:r w:rsidRPr="00EE5215">
              <w:rPr>
                <w:color w:val="000000"/>
                <w:vertAlign w:val="superscript"/>
                <w:lang w:eastAsia="en-AU"/>
              </w:rPr>
              <w:t>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37.6</w:t>
            </w:r>
          </w:p>
        </w:tc>
      </w:tr>
      <w:tr w:rsidR="00187C87" w:rsidRPr="00EE5215" w:rsidTr="00185623">
        <w:trPr>
          <w:trHeight w:val="309"/>
        </w:trPr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C87" w:rsidRPr="00EE5215" w:rsidRDefault="00187C87" w:rsidP="00185623">
            <w:pPr>
              <w:spacing w:after="0"/>
              <w:rPr>
                <w:color w:val="000000"/>
                <w:lang w:eastAsia="en-AU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C87" w:rsidRPr="00EE5215" w:rsidRDefault="00187C87" w:rsidP="00185623">
            <w:pPr>
              <w:spacing w:after="0"/>
              <w:rPr>
                <w:color w:val="000000"/>
                <w:lang w:eastAsia="en-AU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C87" w:rsidRPr="00EE5215" w:rsidRDefault="00187C87" w:rsidP="00185623">
            <w:pPr>
              <w:spacing w:after="0"/>
              <w:rPr>
                <w:color w:val="000000"/>
                <w:lang w:eastAsia="en-AU"/>
              </w:rPr>
            </w:pPr>
          </w:p>
        </w:tc>
      </w:tr>
      <w:tr w:rsidR="00187C87" w:rsidRPr="00EE5215" w:rsidTr="00185623">
        <w:trPr>
          <w:trHeight w:val="34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proofErr w:type="spellStart"/>
            <w:r w:rsidRPr="00EE5215">
              <w:rPr>
                <w:color w:val="000000"/>
                <w:lang w:eastAsia="en-AU"/>
              </w:rPr>
              <w:t>tubulin</w:t>
            </w:r>
            <w:proofErr w:type="spellEnd"/>
            <w:r w:rsidRPr="00EE5215">
              <w:rPr>
                <w:color w:val="000000"/>
                <w:lang w:eastAsia="en-AU"/>
              </w:rPr>
              <w:t xml:space="preserve"> alpha chain</w:t>
            </w:r>
            <w:r w:rsidRPr="00EE5215">
              <w:rPr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63.4</w:t>
            </w:r>
          </w:p>
        </w:tc>
      </w:tr>
      <w:tr w:rsidR="00187C87" w:rsidRPr="00EE5215" w:rsidTr="00185623">
        <w:trPr>
          <w:trHeight w:val="34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proofErr w:type="spellStart"/>
            <w:r w:rsidRPr="00EE5215">
              <w:rPr>
                <w:color w:val="000000"/>
                <w:lang w:eastAsia="en-AU"/>
              </w:rPr>
              <w:t>tubulin</w:t>
            </w:r>
            <w:proofErr w:type="spellEnd"/>
            <w:r w:rsidRPr="00EE5215">
              <w:rPr>
                <w:color w:val="000000"/>
                <w:lang w:eastAsia="en-AU"/>
              </w:rPr>
              <w:t xml:space="preserve"> beta chain</w:t>
            </w:r>
            <w:r w:rsidRPr="00EE5215">
              <w:rPr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40.9</w:t>
            </w:r>
          </w:p>
        </w:tc>
      </w:tr>
      <w:tr w:rsidR="00187C87" w:rsidRPr="00EE5215" w:rsidTr="00187C87">
        <w:trPr>
          <w:trHeight w:val="345"/>
        </w:trPr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proofErr w:type="spellStart"/>
            <w:r w:rsidRPr="00EE5215">
              <w:rPr>
                <w:color w:val="000000"/>
                <w:lang w:eastAsia="en-AU"/>
              </w:rPr>
              <w:t>actin</w:t>
            </w:r>
            <w:proofErr w:type="spellEnd"/>
            <w:r w:rsidRPr="00EE5215">
              <w:rPr>
                <w:color w:val="000000"/>
                <w:lang w:eastAsia="en-AU"/>
              </w:rPr>
              <w:t xml:space="preserve"> 42A</w:t>
            </w:r>
            <w:r w:rsidRPr="00EE5215">
              <w:rPr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68.2</w:t>
            </w:r>
          </w:p>
        </w:tc>
      </w:tr>
      <w:tr w:rsidR="00187C87" w:rsidRPr="00EE5215" w:rsidTr="00187C87">
        <w:trPr>
          <w:trHeight w:val="345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proofErr w:type="spellStart"/>
            <w:r w:rsidRPr="00EE5215">
              <w:rPr>
                <w:color w:val="000000"/>
                <w:lang w:eastAsia="en-AU"/>
              </w:rPr>
              <w:t>actin</w:t>
            </w:r>
            <w:proofErr w:type="spellEnd"/>
            <w:r w:rsidRPr="00EE5215">
              <w:rPr>
                <w:color w:val="000000"/>
                <w:lang w:eastAsia="en-AU"/>
              </w:rPr>
              <w:t xml:space="preserve"> A2</w:t>
            </w:r>
            <w:r w:rsidRPr="00EE5215">
              <w:rPr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23.8</w:t>
            </w:r>
          </w:p>
        </w:tc>
      </w:tr>
    </w:tbl>
    <w:p w:rsidR="00187C87" w:rsidRPr="00EE5215" w:rsidRDefault="00187C87" w:rsidP="00187C87">
      <w:pPr>
        <w:spacing w:line="360" w:lineRule="auto"/>
        <w:rPr>
          <w:b/>
          <w:noProof/>
          <w:sz w:val="20"/>
          <w:szCs w:val="20"/>
          <w:lang w:eastAsia="en-AU"/>
        </w:rPr>
      </w:pPr>
    </w:p>
    <w:p w:rsidR="00187C87" w:rsidRPr="00EE5215" w:rsidRDefault="00187C87" w:rsidP="00187C87">
      <w:pPr>
        <w:spacing w:after="0" w:line="480" w:lineRule="auto"/>
        <w:rPr>
          <w:sz w:val="24"/>
          <w:szCs w:val="24"/>
        </w:rPr>
      </w:pPr>
    </w:p>
    <w:p w:rsidR="00187C87" w:rsidRPr="00EE5215" w:rsidRDefault="00187C87" w:rsidP="00187C87">
      <w:pPr>
        <w:spacing w:after="0" w:line="480" w:lineRule="auto"/>
        <w:rPr>
          <w:sz w:val="24"/>
          <w:szCs w:val="24"/>
        </w:rPr>
      </w:pPr>
    </w:p>
    <w:p w:rsidR="00187C87" w:rsidRPr="00EE5215" w:rsidRDefault="00187C87" w:rsidP="00187C87">
      <w:pPr>
        <w:spacing w:after="0" w:line="480" w:lineRule="auto"/>
        <w:rPr>
          <w:sz w:val="24"/>
          <w:szCs w:val="24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  <w:vertAlign w:val="superscript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  <w:vertAlign w:val="superscript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  <w:vertAlign w:val="superscript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  <w:vertAlign w:val="superscript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  <w:vertAlign w:val="superscript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  <w:vertAlign w:val="superscript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  <w:vertAlign w:val="superscript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  <w:vertAlign w:val="superscript"/>
        </w:rPr>
      </w:pP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vertAlign w:val="superscript"/>
        </w:rPr>
        <w:t>1</w:t>
      </w:r>
      <w:r>
        <w:rPr>
          <w:rFonts w:ascii="Times" w:hAnsi="Times"/>
          <w:sz w:val="24"/>
          <w:szCs w:val="24"/>
        </w:rPr>
        <w:t xml:space="preserve">from </w:t>
      </w:r>
      <w:proofErr w:type="spellStart"/>
      <w:r>
        <w:rPr>
          <w:rFonts w:ascii="Times" w:hAnsi="Times"/>
          <w:i/>
          <w:sz w:val="24"/>
          <w:szCs w:val="24"/>
        </w:rPr>
        <w:t>Apotrechus</w:t>
      </w:r>
      <w:proofErr w:type="spellEnd"/>
      <w:r>
        <w:rPr>
          <w:rFonts w:ascii="Times" w:hAnsi="Times"/>
          <w:i/>
          <w:sz w:val="24"/>
          <w:szCs w:val="24"/>
        </w:rPr>
        <w:t xml:space="preserve"> in </w:t>
      </w:r>
      <w:proofErr w:type="spellStart"/>
      <w:r>
        <w:rPr>
          <w:rFonts w:ascii="Times" w:hAnsi="Times"/>
          <w:i/>
          <w:sz w:val="24"/>
          <w:szCs w:val="24"/>
        </w:rPr>
        <w:t>silico</w:t>
      </w:r>
      <w:proofErr w:type="spellEnd"/>
      <w:r>
        <w:rPr>
          <w:rFonts w:ascii="Times" w:hAnsi="Times"/>
          <w:sz w:val="24"/>
          <w:szCs w:val="24"/>
        </w:rPr>
        <w:t xml:space="preserve"> translated cDNA library</w:t>
      </w:r>
    </w:p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from </w:t>
      </w:r>
      <w:proofErr w:type="spellStart"/>
      <w:r>
        <w:rPr>
          <w:rFonts w:ascii="Times" w:hAnsi="Times"/>
          <w:sz w:val="24"/>
          <w:szCs w:val="24"/>
        </w:rPr>
        <w:t>Genbank’s</w:t>
      </w:r>
      <w:proofErr w:type="spellEnd"/>
      <w:r>
        <w:rPr>
          <w:rFonts w:ascii="Times" w:hAnsi="Times"/>
          <w:sz w:val="24"/>
          <w:szCs w:val="24"/>
        </w:rPr>
        <w:t xml:space="preserve"> non-redundant protein database</w:t>
      </w:r>
    </w:p>
    <w:p w:rsidR="00187C87" w:rsidRPr="00EE5215" w:rsidRDefault="00CF287E" w:rsidP="00CF287E">
      <w:pPr>
        <w:spacing w:after="0" w:line="480" w:lineRule="auto"/>
        <w:rPr>
          <w:i/>
          <w:lang w:eastAsia="en-AU"/>
        </w:rPr>
      </w:pPr>
      <w:r w:rsidRPr="00EE5215">
        <w:rPr>
          <w:i/>
          <w:lang w:eastAsia="en-AU"/>
        </w:rPr>
        <w:t xml:space="preserve"> </w:t>
      </w:r>
    </w:p>
    <w:p w:rsidR="00B51845" w:rsidRDefault="00CF287E"/>
    <w:sectPr w:rsidR="00B51845" w:rsidSect="00EA1F73">
      <w:footerReference w:type="default" r:id="rId6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41" w:rsidRDefault="003E3A41" w:rsidP="003E3A41">
      <w:pPr>
        <w:spacing w:after="0" w:line="240" w:lineRule="auto"/>
      </w:pPr>
      <w:r>
        <w:separator/>
      </w:r>
    </w:p>
  </w:endnote>
  <w:endnote w:type="continuationSeparator" w:id="0">
    <w:p w:rsidR="003E3A41" w:rsidRDefault="003E3A41" w:rsidP="003E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5A" w:rsidRDefault="00187C87">
    <w:pPr>
      <w:pStyle w:val="Footer"/>
    </w:pPr>
    <w:r>
      <w:t xml:space="preserve">Page </w:t>
    </w:r>
    <w:r w:rsidR="003E3A41">
      <w:fldChar w:fldCharType="begin"/>
    </w:r>
    <w:r>
      <w:instrText xml:space="preserve"> PAGE   \* MERGEFORMAT </w:instrText>
    </w:r>
    <w:r w:rsidR="003E3A41">
      <w:fldChar w:fldCharType="separate"/>
    </w:r>
    <w:r w:rsidR="00CF287E">
      <w:rPr>
        <w:noProof/>
      </w:rPr>
      <w:t>1</w:t>
    </w:r>
    <w:r w:rsidR="003E3A41">
      <w:fldChar w:fldCharType="end"/>
    </w:r>
  </w:p>
  <w:p w:rsidR="0028465A" w:rsidRDefault="00CF2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41" w:rsidRDefault="003E3A41" w:rsidP="003E3A41">
      <w:pPr>
        <w:spacing w:after="0" w:line="240" w:lineRule="auto"/>
      </w:pPr>
      <w:r>
        <w:separator/>
      </w:r>
    </w:p>
  </w:footnote>
  <w:footnote w:type="continuationSeparator" w:id="0">
    <w:p w:rsidR="003E3A41" w:rsidRDefault="003E3A41" w:rsidP="003E3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87"/>
    <w:rsid w:val="00187C87"/>
    <w:rsid w:val="003E3A41"/>
    <w:rsid w:val="00716FF8"/>
    <w:rsid w:val="00A861F8"/>
    <w:rsid w:val="00B6481D"/>
    <w:rsid w:val="00C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7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87"/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8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CSIRO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Tara (CES, Black Mountain)</dc:creator>
  <cp:lastModifiedBy>Sutherland, Tara (CES, Black Mountain)</cp:lastModifiedBy>
  <cp:revision>2</cp:revision>
  <dcterms:created xsi:type="dcterms:W3CDTF">2011-12-11T23:42:00Z</dcterms:created>
  <dcterms:modified xsi:type="dcterms:W3CDTF">2012-01-03T04:24:00Z</dcterms:modified>
</cp:coreProperties>
</file>