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FC" w:rsidRDefault="00F27DFC">
      <w:pPr>
        <w:rPr>
          <w:rFonts w:ascii="Calibri" w:hAnsi="Calibri"/>
          <w:color w:val="auto"/>
        </w:rPr>
      </w:pPr>
    </w:p>
    <w:tbl>
      <w:tblPr>
        <w:tblW w:w="14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540"/>
        <w:gridCol w:w="8875"/>
        <w:gridCol w:w="1831"/>
      </w:tblGrid>
      <w:tr w:rsidR="00F27DFC" w:rsidTr="002279CA">
        <w:trPr>
          <w:tblHeader/>
        </w:trPr>
        <w:tc>
          <w:tcPr>
            <w:tcW w:w="2790" w:type="dxa"/>
            <w:tcBorders>
              <w:top w:val="double" w:sz="4" w:space="0" w:color="auto"/>
              <w:bottom w:val="double" w:sz="4" w:space="0" w:color="auto"/>
            </w:tcBorders>
            <w:shd w:val="clear" w:color="auto" w:fill="CCFFCC"/>
          </w:tcPr>
          <w:p w:rsidR="00F27DFC" w:rsidRDefault="00F27DFC">
            <w:pPr>
              <w:pStyle w:val="Otsikko7"/>
              <w:jc w:val="center"/>
              <w:rPr>
                <w:rFonts w:ascii="Calibri" w:hAnsi="Calibri"/>
                <w:bCs w:val="0"/>
                <w:sz w:val="24"/>
              </w:rPr>
            </w:pPr>
            <w:r>
              <w:rPr>
                <w:rFonts w:ascii="Calibri" w:hAnsi="Calibri"/>
                <w:bCs w:val="0"/>
                <w:sz w:val="24"/>
              </w:rPr>
              <w:t>Section/topic</w:t>
            </w:r>
          </w:p>
        </w:tc>
        <w:tc>
          <w:tcPr>
            <w:tcW w:w="540" w:type="dxa"/>
            <w:tcBorders>
              <w:top w:val="double" w:sz="4" w:space="0" w:color="auto"/>
              <w:bottom w:val="double" w:sz="4" w:space="0" w:color="auto"/>
            </w:tcBorders>
            <w:shd w:val="clear" w:color="auto" w:fill="CCFFCC"/>
          </w:tcPr>
          <w:p w:rsidR="00F27DFC" w:rsidRDefault="00F27DFC">
            <w:pPr>
              <w:pStyle w:val="Otsikko7"/>
              <w:tabs>
                <w:tab w:val="decimal" w:pos="295"/>
              </w:tabs>
              <w:rPr>
                <w:rFonts w:ascii="Calibri" w:hAnsi="Calibri"/>
                <w:bCs w:val="0"/>
                <w:sz w:val="24"/>
              </w:rPr>
            </w:pPr>
            <w:r>
              <w:rPr>
                <w:rFonts w:ascii="Calibri" w:hAnsi="Calibri"/>
                <w:bCs w:val="0"/>
                <w:sz w:val="24"/>
              </w:rPr>
              <w:t>#</w:t>
            </w:r>
          </w:p>
        </w:tc>
        <w:tc>
          <w:tcPr>
            <w:tcW w:w="8875" w:type="dxa"/>
            <w:tcBorders>
              <w:top w:val="double" w:sz="4" w:space="0" w:color="auto"/>
              <w:bottom w:val="double" w:sz="4" w:space="0" w:color="auto"/>
            </w:tcBorders>
            <w:shd w:val="clear" w:color="auto" w:fill="CCFFCC"/>
          </w:tcPr>
          <w:p w:rsidR="00F27DFC" w:rsidRDefault="00F27DFC">
            <w:pPr>
              <w:pStyle w:val="Otsikko7"/>
              <w:jc w:val="center"/>
              <w:rPr>
                <w:rFonts w:ascii="Calibri" w:hAnsi="Calibri"/>
                <w:bCs w:val="0"/>
                <w:sz w:val="24"/>
              </w:rPr>
            </w:pPr>
            <w:r>
              <w:rPr>
                <w:rFonts w:ascii="Calibri" w:hAnsi="Calibri"/>
                <w:bCs w:val="0"/>
                <w:sz w:val="24"/>
              </w:rPr>
              <w:t>Checklist item</w:t>
            </w:r>
          </w:p>
        </w:tc>
        <w:tc>
          <w:tcPr>
            <w:tcW w:w="1831" w:type="dxa"/>
            <w:tcBorders>
              <w:top w:val="double" w:sz="4" w:space="0" w:color="auto"/>
              <w:bottom w:val="double" w:sz="4" w:space="0" w:color="auto"/>
            </w:tcBorders>
            <w:shd w:val="clear" w:color="auto" w:fill="CCFFCC"/>
          </w:tcPr>
          <w:p w:rsidR="00F27DFC" w:rsidRDefault="00F27DFC">
            <w:pPr>
              <w:pStyle w:val="Otsikko7"/>
              <w:jc w:val="center"/>
              <w:rPr>
                <w:rFonts w:ascii="Calibri" w:hAnsi="Calibri"/>
                <w:bCs w:val="0"/>
                <w:sz w:val="24"/>
              </w:rPr>
            </w:pPr>
            <w:r>
              <w:rPr>
                <w:rFonts w:ascii="Calibri" w:hAnsi="Calibri"/>
                <w:bCs w:val="0"/>
                <w:sz w:val="24"/>
              </w:rPr>
              <w:t>Reported on page #</w:t>
            </w:r>
          </w:p>
        </w:tc>
      </w:tr>
      <w:tr w:rsidR="00F27DFC" w:rsidTr="002279CA">
        <w:tc>
          <w:tcPr>
            <w:tcW w:w="14036" w:type="dxa"/>
            <w:gridSpan w:val="4"/>
            <w:tcBorders>
              <w:top w:val="double" w:sz="4" w:space="0" w:color="auto"/>
            </w:tcBorders>
            <w:shd w:val="clear" w:color="auto" w:fill="FFFFCC"/>
          </w:tcPr>
          <w:p w:rsidR="00F27DFC" w:rsidRDefault="00F27DFC">
            <w:pPr>
              <w:tabs>
                <w:tab w:val="decimal" w:pos="295"/>
              </w:tabs>
              <w:spacing w:before="40" w:after="20"/>
              <w:rPr>
                <w:rFonts w:ascii="Calibri" w:hAnsi="Calibri"/>
                <w:b/>
                <w:bCs/>
                <w:color w:val="auto"/>
                <w:sz w:val="22"/>
                <w:szCs w:val="22"/>
              </w:rPr>
            </w:pPr>
            <w:r>
              <w:rPr>
                <w:rFonts w:ascii="Calibri" w:hAnsi="Calibri"/>
                <w:b/>
                <w:bCs/>
                <w:color w:val="auto"/>
                <w:sz w:val="22"/>
                <w:szCs w:val="22"/>
              </w:rPr>
              <w:t>TITLE</w:t>
            </w:r>
          </w:p>
        </w:tc>
      </w:tr>
      <w:tr w:rsidR="00F27DFC" w:rsidTr="002279CA">
        <w:tc>
          <w:tcPr>
            <w:tcW w:w="2790" w:type="dxa"/>
            <w:tcBorders>
              <w:bottom w:val="double" w:sz="4" w:space="0" w:color="auto"/>
            </w:tcBorders>
          </w:tcPr>
          <w:p w:rsidR="00F27DFC" w:rsidRDefault="00F27DFC">
            <w:pPr>
              <w:spacing w:before="40" w:after="40"/>
              <w:rPr>
                <w:rFonts w:ascii="Calibri" w:hAnsi="Calibri"/>
                <w:bCs/>
                <w:color w:val="auto"/>
                <w:sz w:val="22"/>
                <w:szCs w:val="22"/>
              </w:rPr>
            </w:pPr>
            <w:r>
              <w:rPr>
                <w:rFonts w:ascii="Calibri" w:hAnsi="Calibri"/>
                <w:bCs/>
                <w:color w:val="auto"/>
                <w:sz w:val="22"/>
                <w:szCs w:val="22"/>
              </w:rPr>
              <w:t>Title</w:t>
            </w:r>
          </w:p>
        </w:tc>
        <w:tc>
          <w:tcPr>
            <w:tcW w:w="540" w:type="dxa"/>
            <w:tcBorders>
              <w:bottom w:val="double" w:sz="4" w:space="0" w:color="auto"/>
            </w:tcBorders>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1</w:t>
            </w:r>
          </w:p>
        </w:tc>
        <w:tc>
          <w:tcPr>
            <w:tcW w:w="8875" w:type="dxa"/>
            <w:tcBorders>
              <w:bottom w:val="double" w:sz="4" w:space="0" w:color="auto"/>
            </w:tcBorders>
          </w:tcPr>
          <w:p w:rsidR="00F27DFC" w:rsidRDefault="00F27DFC">
            <w:pPr>
              <w:spacing w:before="40" w:after="40"/>
              <w:rPr>
                <w:rFonts w:ascii="Calibri" w:hAnsi="Calibri"/>
                <w:b/>
                <w:color w:val="auto"/>
                <w:sz w:val="22"/>
                <w:szCs w:val="22"/>
              </w:rPr>
            </w:pPr>
            <w:r w:rsidRPr="001F4342">
              <w:rPr>
                <w:lang w:val="en-GB"/>
              </w:rPr>
              <w:t xml:space="preserve">“Systematic review and meta-analysis of the efficacy and safety of existing </w:t>
            </w:r>
            <w:proofErr w:type="spellStart"/>
            <w:r w:rsidRPr="001F4342">
              <w:rPr>
                <w:lang w:val="en-GB"/>
              </w:rPr>
              <w:t>tnf</w:t>
            </w:r>
            <w:proofErr w:type="spellEnd"/>
            <w:r w:rsidRPr="001F4342">
              <w:rPr>
                <w:lang w:val="en-GB"/>
              </w:rPr>
              <w:t xml:space="preserve"> blocking agents in treatment of rheumatoid arthritis”</w:t>
            </w:r>
          </w:p>
        </w:tc>
        <w:tc>
          <w:tcPr>
            <w:tcW w:w="1831" w:type="dxa"/>
            <w:tcBorders>
              <w:bottom w:val="double" w:sz="4" w:space="0" w:color="auto"/>
            </w:tcBorders>
          </w:tcPr>
          <w:p w:rsidR="00F27DFC" w:rsidRDefault="00F27DFC">
            <w:pPr>
              <w:spacing w:before="40" w:after="40"/>
              <w:rPr>
                <w:rFonts w:ascii="Calibri" w:hAnsi="Calibri"/>
                <w:bCs/>
                <w:color w:val="auto"/>
                <w:sz w:val="22"/>
                <w:szCs w:val="22"/>
              </w:rPr>
            </w:pPr>
            <w:r>
              <w:rPr>
                <w:rFonts w:ascii="Calibri" w:hAnsi="Calibri"/>
                <w:bCs/>
                <w:color w:val="auto"/>
                <w:sz w:val="22"/>
                <w:szCs w:val="22"/>
              </w:rPr>
              <w:t>1</w:t>
            </w:r>
          </w:p>
        </w:tc>
      </w:tr>
      <w:tr w:rsidR="00F27DFC" w:rsidTr="002279CA">
        <w:tc>
          <w:tcPr>
            <w:tcW w:w="14036" w:type="dxa"/>
            <w:gridSpan w:val="4"/>
            <w:tcBorders>
              <w:top w:val="double" w:sz="4" w:space="0" w:color="auto"/>
            </w:tcBorders>
            <w:shd w:val="clear" w:color="auto" w:fill="FFFFCC"/>
          </w:tcPr>
          <w:p w:rsidR="00F27DFC" w:rsidRDefault="00F27DFC">
            <w:pPr>
              <w:tabs>
                <w:tab w:val="decimal" w:pos="295"/>
              </w:tabs>
              <w:spacing w:before="40" w:after="20"/>
              <w:rPr>
                <w:rFonts w:ascii="Calibri" w:hAnsi="Calibri"/>
                <w:b/>
                <w:bCs/>
                <w:color w:val="auto"/>
                <w:sz w:val="22"/>
                <w:szCs w:val="22"/>
              </w:rPr>
            </w:pPr>
            <w:r>
              <w:rPr>
                <w:rFonts w:ascii="Calibri" w:hAnsi="Calibri"/>
                <w:b/>
                <w:bCs/>
                <w:color w:val="auto"/>
                <w:sz w:val="22"/>
                <w:szCs w:val="22"/>
              </w:rPr>
              <w:t>ABSTRACT</w:t>
            </w:r>
          </w:p>
        </w:tc>
      </w:tr>
      <w:tr w:rsidR="00F27DFC" w:rsidTr="002279CA">
        <w:tc>
          <w:tcPr>
            <w:tcW w:w="2790"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Structured summary</w:t>
            </w:r>
          </w:p>
        </w:tc>
        <w:tc>
          <w:tcPr>
            <w:tcW w:w="54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2</w:t>
            </w:r>
          </w:p>
        </w:tc>
        <w:tc>
          <w:tcPr>
            <w:tcW w:w="8875" w:type="dxa"/>
          </w:tcPr>
          <w:p w:rsidR="00E74FBD" w:rsidRPr="00E74FBD" w:rsidRDefault="00E74FBD" w:rsidP="00E74FBD">
            <w:pPr>
              <w:jc w:val="both"/>
              <w:rPr>
                <w:lang w:val="en-GB"/>
              </w:rPr>
            </w:pPr>
            <w:r w:rsidRPr="00E74FBD">
              <w:rPr>
                <w:b/>
                <w:lang w:val="en-GB"/>
              </w:rPr>
              <w:t>Background and objectives</w:t>
            </w:r>
            <w:r w:rsidRPr="00E74FBD">
              <w:rPr>
                <w:i/>
                <w:lang w:val="en-GB"/>
              </w:rPr>
              <w:t>:</w:t>
            </w:r>
            <w:r w:rsidRPr="00E74FBD">
              <w:rPr>
                <w:lang w:val="en-GB"/>
              </w:rPr>
              <w:t xml:space="preserve"> Five tumour necrosis factor (TNF)-blockers (</w:t>
            </w:r>
            <w:proofErr w:type="spellStart"/>
            <w:r w:rsidRPr="00E74FBD">
              <w:rPr>
                <w:lang w:val="en-GB"/>
              </w:rPr>
              <w:t>infliximab</w:t>
            </w:r>
            <w:proofErr w:type="spellEnd"/>
            <w:r w:rsidRPr="00E74FBD">
              <w:rPr>
                <w:lang w:val="en-GB"/>
              </w:rPr>
              <w:t xml:space="preserve">, </w:t>
            </w:r>
            <w:proofErr w:type="spellStart"/>
            <w:r w:rsidRPr="00E74FBD">
              <w:rPr>
                <w:lang w:val="en-GB"/>
              </w:rPr>
              <w:t>etanercept</w:t>
            </w:r>
            <w:proofErr w:type="spellEnd"/>
            <w:r w:rsidRPr="00E74FBD">
              <w:rPr>
                <w:lang w:val="en-GB"/>
              </w:rPr>
              <w:t xml:space="preserve">, </w:t>
            </w:r>
            <w:proofErr w:type="spellStart"/>
            <w:r w:rsidRPr="00E74FBD">
              <w:rPr>
                <w:lang w:val="en-GB"/>
              </w:rPr>
              <w:t>adalimumab</w:t>
            </w:r>
            <w:proofErr w:type="spellEnd"/>
            <w:r w:rsidRPr="00E74FBD">
              <w:rPr>
                <w:lang w:val="en-GB"/>
              </w:rPr>
              <w:t xml:space="preserve">, </w:t>
            </w:r>
            <w:proofErr w:type="spellStart"/>
            <w:r w:rsidRPr="00E74FBD">
              <w:rPr>
                <w:lang w:val="en-GB"/>
              </w:rPr>
              <w:t>certolizumab</w:t>
            </w:r>
            <w:proofErr w:type="spellEnd"/>
            <w:r w:rsidRPr="00E74FBD">
              <w:rPr>
                <w:lang w:val="en-GB"/>
              </w:rPr>
              <w:t xml:space="preserve"> </w:t>
            </w:r>
            <w:proofErr w:type="spellStart"/>
            <w:r w:rsidRPr="00E74FBD">
              <w:rPr>
                <w:lang w:val="en-GB"/>
              </w:rPr>
              <w:t>pegol</w:t>
            </w:r>
            <w:proofErr w:type="spellEnd"/>
            <w:r w:rsidRPr="00E74FBD">
              <w:rPr>
                <w:lang w:val="en-GB"/>
              </w:rPr>
              <w:t xml:space="preserve"> and </w:t>
            </w:r>
            <w:proofErr w:type="spellStart"/>
            <w:r w:rsidRPr="00E74FBD">
              <w:rPr>
                <w:lang w:val="en-GB"/>
              </w:rPr>
              <w:t>golimumab</w:t>
            </w:r>
            <w:proofErr w:type="spellEnd"/>
            <w:r w:rsidRPr="00E74FBD">
              <w:rPr>
                <w:lang w:val="en-GB"/>
              </w:rPr>
              <w:t>) are available for treatment of rheumatoid arthritis. Only few clinical trials compare one TNF-blocker to another. Hence, a systematic review is required to indirectly compare the substances.</w:t>
            </w:r>
            <w:r w:rsidRPr="00E74FBD">
              <w:rPr>
                <w:i/>
                <w:lang w:val="en-GB"/>
              </w:rPr>
              <w:t xml:space="preserve"> </w:t>
            </w:r>
            <w:r w:rsidRPr="00E74FBD">
              <w:rPr>
                <w:lang w:val="en-GB"/>
              </w:rPr>
              <w:t>The aim of our study is to estimate the efficacy and the safety of TNF-blockers in the treatment of rheumatoid arthritis (RA) and indirectly compare all five currently available blockers by combining the results from included randomized clinical trials (RCT).</w:t>
            </w:r>
          </w:p>
          <w:p w:rsidR="00E74FBD" w:rsidRPr="00E74FBD" w:rsidRDefault="00E74FBD" w:rsidP="00E74FBD">
            <w:pPr>
              <w:jc w:val="both"/>
              <w:rPr>
                <w:lang w:val="en-GB"/>
              </w:rPr>
            </w:pPr>
            <w:r w:rsidRPr="00E74FBD">
              <w:rPr>
                <w:b/>
                <w:lang w:val="en-GB"/>
              </w:rPr>
              <w:t>Methods:</w:t>
            </w:r>
            <w:r w:rsidRPr="00E74FBD">
              <w:rPr>
                <w:lang w:val="en-GB"/>
              </w:rPr>
              <w:t xml:space="preserve"> A systematic literature review was conducted using databases including: MEDLINE, SCOPUS (including EMBASE), Cochrane library and electronic search alerts. Only articles reporting double-blind RCTs of TNF-blockers </w:t>
            </w:r>
            <w:r w:rsidRPr="00E74FBD">
              <w:rPr>
                <w:i/>
                <w:lang w:val="en-GB"/>
              </w:rPr>
              <w:t>vs.</w:t>
            </w:r>
            <w:r w:rsidRPr="00E74FBD">
              <w:rPr>
                <w:lang w:val="en-GB"/>
              </w:rPr>
              <w:t xml:space="preserve"> placebo, with or without concomitant </w:t>
            </w:r>
            <w:proofErr w:type="spellStart"/>
            <w:r w:rsidRPr="00E74FBD">
              <w:rPr>
                <w:lang w:val="en-GB"/>
              </w:rPr>
              <w:t>methotrexate</w:t>
            </w:r>
            <w:proofErr w:type="spellEnd"/>
            <w:r w:rsidRPr="00E74FBD">
              <w:rPr>
                <w:lang w:val="en-GB"/>
              </w:rPr>
              <w:t xml:space="preserve"> (MTX), in treatment of RA were selected. Data collected were information of patients, interventions, controls, outcomes, study methods and eventual sources of bias.</w:t>
            </w:r>
          </w:p>
          <w:p w:rsidR="00E74FBD" w:rsidRPr="00E74FBD" w:rsidRDefault="00E74FBD" w:rsidP="00E74FBD">
            <w:pPr>
              <w:jc w:val="both"/>
              <w:rPr>
                <w:lang w:val="en-GB"/>
              </w:rPr>
            </w:pPr>
            <w:r w:rsidRPr="00E74FBD">
              <w:rPr>
                <w:b/>
                <w:lang w:val="en-GB"/>
              </w:rPr>
              <w:t>Results:</w:t>
            </w:r>
            <w:r w:rsidRPr="00E74FBD">
              <w:rPr>
                <w:lang w:val="en-GB"/>
              </w:rPr>
              <w:t xml:space="preserve"> Forty one articles reporting on 26 RCTs were included in the systematic review and meta-analysis. Five RCTs studied </w:t>
            </w:r>
            <w:proofErr w:type="spellStart"/>
            <w:r w:rsidRPr="00E74FBD">
              <w:rPr>
                <w:lang w:val="en-GB"/>
              </w:rPr>
              <w:t>infliximab</w:t>
            </w:r>
            <w:proofErr w:type="spellEnd"/>
            <w:r w:rsidRPr="00E74FBD">
              <w:rPr>
                <w:lang w:val="en-GB"/>
              </w:rPr>
              <w:t xml:space="preserve">, seven </w:t>
            </w:r>
            <w:proofErr w:type="spellStart"/>
            <w:r w:rsidRPr="00E74FBD">
              <w:rPr>
                <w:lang w:val="en-GB"/>
              </w:rPr>
              <w:t>etanercept</w:t>
            </w:r>
            <w:proofErr w:type="spellEnd"/>
            <w:r w:rsidRPr="00E74FBD">
              <w:rPr>
                <w:lang w:val="en-GB"/>
              </w:rPr>
              <w:t xml:space="preserve">, eight </w:t>
            </w:r>
            <w:proofErr w:type="spellStart"/>
            <w:r w:rsidRPr="00E74FBD">
              <w:rPr>
                <w:lang w:val="en-GB"/>
              </w:rPr>
              <w:t>adalimumab</w:t>
            </w:r>
            <w:proofErr w:type="spellEnd"/>
            <w:r w:rsidRPr="00E74FBD">
              <w:rPr>
                <w:lang w:val="en-GB"/>
              </w:rPr>
              <w:t xml:space="preserve">, three </w:t>
            </w:r>
            <w:proofErr w:type="spellStart"/>
            <w:r w:rsidRPr="00E74FBD">
              <w:rPr>
                <w:lang w:val="en-GB"/>
              </w:rPr>
              <w:t>golimumab</w:t>
            </w:r>
            <w:proofErr w:type="spellEnd"/>
            <w:r w:rsidRPr="00E74FBD">
              <w:rPr>
                <w:lang w:val="en-GB"/>
              </w:rPr>
              <w:t xml:space="preserve"> and three </w:t>
            </w:r>
            <w:proofErr w:type="spellStart"/>
            <w:r w:rsidRPr="00E74FBD">
              <w:rPr>
                <w:lang w:val="en-GB"/>
              </w:rPr>
              <w:t>certolizumab</w:t>
            </w:r>
            <w:proofErr w:type="spellEnd"/>
            <w:r w:rsidRPr="00E74FBD">
              <w:rPr>
                <w:lang w:val="en-GB"/>
              </w:rPr>
              <w:t xml:space="preserve">. TNF-blockers </w:t>
            </w:r>
            <w:r w:rsidRPr="00E74FBD">
              <w:rPr>
                <w:lang w:val="en-US"/>
              </w:rPr>
              <w:t>were</w:t>
            </w:r>
            <w:r w:rsidRPr="00E74FBD">
              <w:rPr>
                <w:lang w:val="en-GB"/>
              </w:rPr>
              <w:t xml:space="preserve"> more efficacious than placebo at all time points but were comparable to MTX. TNF-blocker and MTX combination was superior to either MTX or TNF-blocker alone. Increasing doses did not improve the efficacy. TNF-blockers were relatively safe compared to either MTX or placebo.</w:t>
            </w:r>
          </w:p>
          <w:p w:rsidR="00E74FBD" w:rsidRPr="00E74FBD" w:rsidRDefault="00E74FBD" w:rsidP="00E74FBD">
            <w:pPr>
              <w:jc w:val="both"/>
              <w:rPr>
                <w:lang w:val="en-GB"/>
              </w:rPr>
            </w:pPr>
            <w:r w:rsidRPr="00E74FBD">
              <w:rPr>
                <w:b/>
                <w:lang w:val="en-GB"/>
              </w:rPr>
              <w:t>Conclusions:</w:t>
            </w:r>
            <w:r w:rsidRPr="00E74FBD">
              <w:rPr>
                <w:lang w:val="en-GB"/>
              </w:rPr>
              <w:t xml:space="preserve"> No single substance clearly rose above others in efficacy, but </w:t>
            </w:r>
            <w:r w:rsidRPr="00E74FBD">
              <w:rPr>
                <w:lang w:val="en-GB"/>
              </w:rPr>
              <w:lastRenderedPageBreak/>
              <w:t xml:space="preserve">the results of the safety analyses suggest that </w:t>
            </w:r>
            <w:proofErr w:type="spellStart"/>
            <w:r w:rsidRPr="00E74FBD">
              <w:rPr>
                <w:lang w:val="en-GB"/>
              </w:rPr>
              <w:t>etanercept</w:t>
            </w:r>
            <w:proofErr w:type="spellEnd"/>
            <w:r w:rsidRPr="00E74FBD">
              <w:rPr>
                <w:lang w:val="en-GB"/>
              </w:rPr>
              <w:t xml:space="preserve"> might be the safest alternative. Interestingly, MTX performs nearly identically considering both efficacy and safety aspects with a margin of costs.</w:t>
            </w:r>
          </w:p>
          <w:p w:rsidR="00F27DFC" w:rsidRPr="0057737F" w:rsidRDefault="00F27DFC" w:rsidP="00D76130">
            <w:pPr>
              <w:spacing w:before="40" w:after="40"/>
              <w:rPr>
                <w:rFonts w:ascii="Calibri" w:hAnsi="Calibri"/>
                <w:bCs/>
                <w:color w:val="auto"/>
                <w:sz w:val="22"/>
                <w:szCs w:val="22"/>
                <w:lang w:val="en-GB"/>
              </w:rPr>
            </w:pPr>
          </w:p>
        </w:tc>
        <w:tc>
          <w:tcPr>
            <w:tcW w:w="1831"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lastRenderedPageBreak/>
              <w:t>2</w:t>
            </w:r>
          </w:p>
        </w:tc>
      </w:tr>
      <w:tr w:rsidR="00F27DFC" w:rsidTr="002279CA">
        <w:tc>
          <w:tcPr>
            <w:tcW w:w="14036" w:type="dxa"/>
            <w:gridSpan w:val="4"/>
            <w:tcBorders>
              <w:top w:val="double" w:sz="4" w:space="0" w:color="auto"/>
            </w:tcBorders>
            <w:shd w:val="clear" w:color="auto" w:fill="FFFFCC"/>
          </w:tcPr>
          <w:p w:rsidR="00F27DFC" w:rsidRDefault="00F27DFC">
            <w:pPr>
              <w:tabs>
                <w:tab w:val="decimal" w:pos="295"/>
              </w:tabs>
              <w:spacing w:before="40" w:after="20"/>
              <w:rPr>
                <w:rFonts w:ascii="Calibri" w:hAnsi="Calibri"/>
                <w:b/>
                <w:bCs/>
                <w:color w:val="auto"/>
                <w:sz w:val="22"/>
                <w:szCs w:val="22"/>
              </w:rPr>
            </w:pPr>
            <w:r>
              <w:rPr>
                <w:rFonts w:ascii="Calibri" w:hAnsi="Calibri"/>
                <w:b/>
                <w:bCs/>
                <w:color w:val="auto"/>
                <w:sz w:val="22"/>
                <w:szCs w:val="22"/>
              </w:rPr>
              <w:lastRenderedPageBreak/>
              <w:t>INTRODUCTION</w:t>
            </w:r>
          </w:p>
        </w:tc>
      </w:tr>
      <w:tr w:rsidR="00F27DFC" w:rsidTr="002279CA">
        <w:tc>
          <w:tcPr>
            <w:tcW w:w="2790"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Rationale</w:t>
            </w:r>
          </w:p>
        </w:tc>
        <w:tc>
          <w:tcPr>
            <w:tcW w:w="54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3</w:t>
            </w:r>
          </w:p>
        </w:tc>
        <w:tc>
          <w:tcPr>
            <w:tcW w:w="8875" w:type="dxa"/>
          </w:tcPr>
          <w:p w:rsidR="00E74FBD" w:rsidRPr="00E74FBD" w:rsidRDefault="00F27DFC" w:rsidP="00E74FBD">
            <w:pPr>
              <w:jc w:val="both"/>
              <w:rPr>
                <w:lang w:val="en-GB"/>
              </w:rPr>
            </w:pPr>
            <w:r w:rsidRPr="001F4342">
              <w:rPr>
                <w:lang w:val="en-GB"/>
              </w:rPr>
              <w:t>“</w:t>
            </w:r>
            <w:r w:rsidR="00E74FBD" w:rsidRPr="00E74FBD">
              <w:rPr>
                <w:lang w:val="en-GB"/>
              </w:rPr>
              <w:t xml:space="preserve">Previous systematic reviews and meta-analyses have studied the subject in various settings and comparisons </w:t>
            </w:r>
            <w:r w:rsidR="00BB0325" w:rsidRPr="00E74FBD">
              <w:rPr>
                <w:lang w:val="en-GB"/>
              </w:rPr>
              <w:fldChar w:fldCharType="begin" w:fldLock="1"/>
            </w:r>
            <w:r w:rsidR="00E74FBD" w:rsidRPr="00E74FBD">
              <w:rPr>
                <w:lang w:val="en-GB"/>
              </w:rPr>
              <w:instrText xml:space="preserve">ADDIN Mendeley Citation{94ea211e-afb4-4828-8409-618cd49f90e0};{3356fd43-f9d1-4123-80e6-7053bbaa257d};{548a57a0-6b3e-4ac3-9be4-412f4e838969};{da65cff8-146b-477b-8a01-5cd81110966d};{294df68b-d8b8-4536-970a-a598597f78ea};{a159e4c3-9185-467c-a336-3b34c75db3ea};{a994522e-5032-452e-b92e-244426acc8fb};{49a26d84-3485-4419-9009-29961dd434c2};{c11f2885-7c59-46b1-93a7-6fd67f0feab2} CSL_CITATION  { "citationItems" : [ { "id" : "ITEM-1", "itemData" : { "DOI" : "10.1002/14651858.CD007848.pub2", "URL" : "http://www.ncbi.nlm.nih.gov/pubmed/19821440", "abstract" : "The biologic disease-modifying anti-rheumatic drugs (DMARDs) are very effective in treating rheumatoid arthritis (RA), however there is a lack of head-to-head comparison studies.", "accessed" : { "date-parts" : [ [ "2011", "5", "2" ] ] }, "author" : [ { "family" : "Singh", "given" : "Jasvinder a" }, { "family" : "Christensen", "given" : "Robin" }, { "family" : "Wells", "given" : "George a" }, { "family" : "Suarez-Almazor", "given" : "Maria E" }, { "family" : "Buchbinder", "given" : "Rachelle" }, { "family" : "Lopez-Olivo", "given" : "Maria Angeles" }, { "family" : "Tanjong Ghogomu", "given" : "Elizabeth" }, { "family" : "Tugwell", "given" : "Peter" } ], "container-title" : "Cochrane database of systematic reviews (Online)", "id" : "ITEM-1", "issue" : "4", "issued" : { "date-parts" : [ [ "2009", "1" ] ] }, "note" : "\u003cm:note\u003e\u003c/m:note\u003e", "page" : "CD007848", "title" : "Biologics for rheumatoid arthritis: an overview of Cochrane reviews.", "type" : "webpage" }, "uris" : [ "http://www.mendeley.com/documents/?uuid=94ea211e-afb4-4828-8409-618cd49f90e0" ] }, { "id" : "ITEM-2", "itemData" : { "DOI" : "10.1007/s10067-009-1233-9", "abstract" : "Infliximab is a chimeric monoclonal antibody. Published studies indicate that its use in patients with rheumatoid arthritis can be efficient in providing long-term benefits. The aim of this study is to evaluate the efficacy and safety of using infliximab for the treatment of rheumatoid arthritis. A systematic review was performed to search for randomized clinical trials that compared intravenous administration of 3 mg/kg body weight infliximab or placebo in patients concomitantly using methotrexate. Only studies of moderate or high quality were included. A meta-analysis was conducted to assess the efficacy (based on changes of American College of Rheumatology (ACR) criteria) and the safety (based on serious adverse events, serious infections, malignancy, and deaths) of infliximab use. Withdrawals due to adverse events or lack of efficacy were also evaluated in both infliximab-treated and control groups. Seven trials met the inclusion criteria, comprising 2,129 patients. In the efficacy meta-analysis, a greater number of infliximab-treated patients relative to those in the placebo group achieved ACR20, ACR50, and ACR70 values from 14 weeks to 2 years of treatment. For safety analysis, there were no statistically significant differences between the groups. Withdrawals due to adverse events were higher in the infliximab group relative to the placebo group, and withdrawals due to lack of efficacy were higher in the placebo group relative to the infliximab-treated group. This meta-analysis shows a higher efficacy of infliximab relative to placebo without significant safety differences between the infliximab-treated and control groups.", "author" : [ { "family" : "Wiens", "given" : "Astrid" }, { "family" : "Correr", "given" : "Cassyano Janu\u00e1rio" }, { "family" : "Venson", "given" : "Rafael" }, { "family" : "Grochocki", "given" : "M\u00f4nica Cavichiolo" }, { "family" : "Otuki", "given" : "Michel Fleith" }, { "family" : "Pontarolo", "given" : "Roberto" } ], "container-title" : "Clinical rheumatology", "id" : "ITEM-2", "issue" : "12", "issued" : { "date-parts" : [ [ "2009", "12" ] ] }, "note" : "\u003cm:note/\u003e", "page" : "1365-73", "title" : "A meta-analysis of the efficacy and safety of using infliximab for the treatment of rheumatoid arthritis.", "type" : "article-journal", "volume" : "28" }, "uris" : [ "http://www.mendeley.com/documents/?uuid=3356fd43-f9d1-4123-80e6-7053bbaa257d" ] }, { "id" : "ITEM-3", "itemData" : { "DOI" : "10.1111/j.1365-3083.2009.02296.x", "abstract" : "The aim of this study was to evaluate the efficacy and safety of etanercept (ETA) for treating rheumatoid arthritis. A systematic review was performed to search for randomized clinical trials comparing subcutaneous doses of ETA at 25 mg twice a week or 50 mg weekly to a placebo group, with or without methotrexate. Studies of low quality (less than 3 points on Jadad's scale) were excluded. The efficacy was assessed by using the criteria of the American College of Rheumatology (ACR). Safety data were evaluated based on serious adverse events, serious infections, malignancy and deaths. Withdrawals as a result of adverse events or lack of efficacy were also evaluated. Eight studies met the inclusion criteria, comprising 2385 patients. In the efficacy meta-analysis, a greater number of ETA-treated patients achieved the efficacy criteria within 6 months of treatment, where the relative risk (RR) was 2.94 [2.27, 3.81] for achieving ACR20, 5.28 [3.12, 8.92] for ACR50 and 4.83 [1.74, 13.47] for ACR70. After 1 year, the RR for achieving ACR20, ACR50 and ACR70 were 1.14 [1.07, 1.23], 1.36 [1.21, 1.53] and 1.56 [1.30, 1.88], respectively. This response rates were higher for ETA-treated patients in comparison with control group patients. For safety, there were no statistically significant differences between treated patients and controls. This was also confirmed by withdrawals as a result of adverse events, which were not statistically different between the two groups. However, more patients withdrew from control groups because of a lack of efficacy as compared with ETA groups (RR = 0.48 [0.30, 0.78]).", "author" : [ { "family" : "Wiens", "given" : "Astrid" }, { "family" : "Correr", "given" : "Cassyano Januario" }, { "family" : "Pontarolo", "given" : "Roberto" }, { "family" : "Venson", "given" : "Rafael" }, { "family" : "Quinalha", "given" : "Juliana Vasconcelos" }, { "family" : "Otuki", "given" : "Michel Fleith" } ], "container-title" : "Scandinavian journal of immunology", "id" : "ITEM-3", "issue" : "4", "issued" : { "date-parts" : [ [ "2009", "10" ] ] }, "note" : "\u003cm:note/\u003e", "page" : "337-44", "title" : "A systematic review and meta-analysis of the efficacy and safety of etanercept for treating rheumatoid arthritis.", "type" : "article-journal", "volume" : "70" }, "uris" : [ "http://www.mendeley.com/documents/?uuid=548a57a0-6b3e-4ac3-9be4-412f4e838969" ] }, { "id" : "ITEM-4", "itemData" : { "author" : [ { "family" : "Chen", "given" : "Y-f" }, { "family" : "Jobanputra", "given" : "P" }, { "family" : "Barton", "given" : "P" }, { "family" : "Jowett", "given" : "S" }, { "family" : "Bryan", "given" : "S" }, { "family" : "Clark", "given" : "W" }, { "family" : "Burls", "given" : "A" } ], "container-title" : "Health Technology Assessment", "id" : "ITEM-4", "issue" : "42", "issued" : { "date-parts" : [ [ "2006" ] ] }, "note" : "\u003cm:note\u003e\u003c/m:note\u003e", "number" : "42", "page" : "248", "title" : "Adalimumab, etanercept and infliximab for the treatment of rheumatoid arthritis", "type" : "article", "volume" : "10" }, "uris" : [ "http://www.mendeley.com/documents/?uuid=da65cff8-146b-477b-8a01-5cd81110966d" ] }, { "id" : "ITEM-5", "itemData" : { "DOI" : "10.1186/1471-2474-9-52", "URL" : "http://www.pubmedcentral.nih.gov/articlerender.fcgi?artid=2377247\u0026tool=pmcentrez\u0026rendertype=abstract", "abstract" : "To analyse available evidence on the efficacy and safety of anti-TNFalpha drugs (infliximab, etanercept and adalimumab) for treating rheumatoid arthritis (RA).", "accessed" : { "date-parts" : [ [ "2011", "9", "14" ] ] }, "author" : [ { "family" : "Alonso-Ruiz", "given" : "Alberto" }, { "family" : "Pijoan", "given" : "Jose Ignacio" }, { "family" : "Ansuategui", "given" : "Eukene" }, { "family" : "Urkaregi", "given" : "Arantxa" }, { "family" : "Calabozo", "given" : "Marcelo" }, { "family" : "Quintana", "given" : "Antonio" } ], "container-title" : "BMC musculoskeletal disorders", "id" : "ITEM-5", "issue" : "24", "issued" : { "date-parts" : [ [ "2008", "1" ] ] }, "note" : "\u003cm:note\u003e\u003c/m:note\u003e", "title" : "Tumor necrosis factor alpha drugs in rheumatoid arthritis: systematic review and metaanalysis of efficacy and safety.", "type" : "webpage", "volume" : "9" }, "uris" : [ "http://www.mendeley.com/documents/?uuid=294df68b-d8b8-4536-970a-a598597f78ea" ] }, { "id" : "ITEM-6", "itemData" : { "DOI" : "10.1136/ard.2008.091025", "abstract" : "To evaluate the safety of biological treatments for rheumatoid arthritis (RA) using results from randomised controlled trials (RCT).", "author" : [ { "family" : "Leombruno", "given" : "J P" }, { "family" : "Einarson", "given" : "T R" }, { "family" : "Keystone", "given" : "E C" } ], "container-title" : "Annals of the rheumatic diseases", "id" : "ITEM-6", "issue" : "7", "issued" : { "date-parts" : [ [ "2009", "7" ] ] }, "note" : "\u003cm:note/\u003e", "page" : "1136-45", "title" : "The safety of anti-tumour necrosis factor treatments in rheumatoid arthritis: meta and exposure-adjusted pooled analyses of serious adverse events.", "type" : "article-journal", "volume" : "68" }, "uris" : [ "http://www.mendeley.com/documents/?uuid=a159e4c3-9185-467c-a336-3b34c75db3ea" ] }, { "id" : "ITEM-7", "itemData" : { "DOI" : "10.1592/phco.30.4.339", "author" : [ { "family" : "Wiens", "given" : "Astrid" }, { "family" : "Venson", "given" : "Rafael" }, { "family" : "Correr", "given" : "Cassyano J" }, { "family" : "Otuki", "given" : "Michel Fleith" }, { "family" : "Pontarolo", "given" : "Roberto" } ], "container-title" : "Pharmacotherapy", "id" : "ITEM-7", "issue" : "4", "issued" : { "date-parts" : [ [ "2010", "4" ] ] }, "note" : "\u003cm:note/\u003e", "page" : "339-53", "title" : "Meta-analysis of the efficacy and safety of adalimumab, etanercept, and infliximab for the treatment of rheumatoid arthritis.", "type" : "article-journal", "volume" : "30" }, "uris" : [ "http://www.mendeley.com/documents/?uuid=a994522e-5032-452e-b92e-244426acc8fb" ] }, { "id" : "ITEM-8", "itemData" : { "DOI" : "10.1080/03009740701607067", "abstract" : "To compare the efficacy of adalimumab, etanercept, and infliximab in patients with established rheumatoid arthritis (RA) taking concomitant methotrexate (MTX) by calculating the number needed to treat (NNT) using three different methods.", "author" : [ { "family" : "Kristensen", "given" : "L E" }, { "family" : "Christensen", "given" : "R" }, { "family" : "Bliddal", "given" : "H" }, { "family" : "Geborek", "given" : "P" }, { "family" : "Danneskiold-Sams\u00f8e", "given" : "B" }, { "family" : "Saxne", "given" : "T" } ], "container-title" : "Scandinavian journal of rheumatology", "id" : "ITEM-8", "issue" : "6", "issued" : { "date-parts" : [ [ "2007" ] ] }, "note" : "\u003cm:note/\u003e", "page" : "411-7", "title" : "The number needed to treat for adalimumab, etanercept, and infliximab based on ACR50 response in three randomized controlled trials on established rheumatoid arthritis: a systematic literature review.", "type" : "article-journal", "volume" : "36" }, "uris" : [ "http://www.mendeley.com/documents/?uuid=49a26d84-3485-4419-9009-29961dd434c2" ] }, { "id" : "ITEM-9", "itemData" : { "DOI" : "10.3899/jrheum.100665", "abstract" : "To compare the clinical efficacy of certolizumab pegol (CZP) with that of other anticytokine agents indicated for the treatment of rheumatoid arthritis (RA) with identical therapeutic indication (anti-tumor necrosis factor-\u03b1, anti-interleukin 1 or 6), with the objective of determining the noninferiority of CZP.", "author" : [ { "family" : "Launois", "given" : "Robert" }, { "family" : "Avouac", "given" : "Bernard" }, { "family" : "Berenbaum", "given" : "Francis" }, { "family" : "Blin", "given" : "Olivier" }, { "family" : "Bru", "given" : "Isabelle" }, { "family" : "Fautrel", "given" : "Bruno" }, { "family" : "Joubert", "given" : "Jean-Michel" }, { "family" : "Sibilia", "given" : "Jean" }, { "family" : "Combe", "given" : "Bernard" } ], "container-title" : "The Journal of rheumatology", "id" : "ITEM-9", "issue" : "5", "issued" : { "date-parts" : [ [ "2011", "5" ] ] }, "note" : "\u003cm:note/\u003e", "page" : "835-45", "title" : "Comparison of certolizumab pegol with other anticytokine agents for treatment of rheumatoid arthritis: a multiple-treatment Bayesian metaanalysis.", "type" : "article-journal", "volume" : "38" }, "uris" : [ "http://www.mendeley.com/documents/?uuid=c11f2885-7c59-46b1-93a7-6fd67f0feab2" ] } ], "mendeley" : { "previouslyFormattedCitation" : "[6\u201314]" }, "properties" : { "noteIndex" : 0 }, "schema" : "https://github.com/citation-style-language/schema/raw/master/csl-citation.json" } </w:instrText>
            </w:r>
            <w:r w:rsidR="00BB0325" w:rsidRPr="00E74FBD">
              <w:rPr>
                <w:lang w:val="en-GB"/>
              </w:rPr>
              <w:fldChar w:fldCharType="separate"/>
            </w:r>
            <w:r w:rsidR="00E74FBD" w:rsidRPr="00E74FBD">
              <w:rPr>
                <w:lang w:val="en-GB"/>
              </w:rPr>
              <w:t>[6–14]</w:t>
            </w:r>
            <w:r w:rsidR="00BB0325" w:rsidRPr="00E74FBD">
              <w:rPr>
                <w:lang w:val="en-GB"/>
              </w:rPr>
              <w:fldChar w:fldCharType="end"/>
            </w:r>
            <w:r w:rsidR="00E74FBD" w:rsidRPr="00E74FBD">
              <w:rPr>
                <w:lang w:val="en-GB"/>
              </w:rPr>
              <w:t xml:space="preserve">. These studies concluded that while TNF-blockers are efficacious but it may still be beneficial to use them in combination therapies. Only few differences in efficacy and safety between individual substances were discovered. However, more randomized clinical trials have been published lately with additional data available to systematic reviews and most importantly, two new substances, </w:t>
            </w:r>
            <w:proofErr w:type="spellStart"/>
            <w:r w:rsidR="00E74FBD" w:rsidRPr="00E74FBD">
              <w:rPr>
                <w:lang w:val="en-GB"/>
              </w:rPr>
              <w:t>certolizumab</w:t>
            </w:r>
            <w:proofErr w:type="spellEnd"/>
            <w:r w:rsidR="00E74FBD" w:rsidRPr="00E74FBD">
              <w:rPr>
                <w:lang w:val="en-GB"/>
              </w:rPr>
              <w:t xml:space="preserve"> and </w:t>
            </w:r>
            <w:proofErr w:type="spellStart"/>
            <w:r w:rsidR="00E74FBD" w:rsidRPr="00E74FBD">
              <w:rPr>
                <w:lang w:val="en-GB"/>
              </w:rPr>
              <w:t>golimumab</w:t>
            </w:r>
            <w:proofErr w:type="spellEnd"/>
            <w:r w:rsidR="00E74FBD" w:rsidRPr="00E74FBD">
              <w:rPr>
                <w:lang w:val="en-GB"/>
              </w:rPr>
              <w:t>, have been introduced to clinical use.</w:t>
            </w:r>
          </w:p>
          <w:p w:rsidR="00F27DFC" w:rsidRPr="0070477F" w:rsidRDefault="00F27DFC" w:rsidP="0057737F">
            <w:pPr>
              <w:jc w:val="both"/>
              <w:rPr>
                <w:lang w:val="en-GB"/>
              </w:rPr>
            </w:pPr>
          </w:p>
          <w:p w:rsidR="00F27DFC" w:rsidRDefault="00F27DFC">
            <w:pPr>
              <w:spacing w:before="40" w:after="40"/>
              <w:rPr>
                <w:rFonts w:ascii="Calibri" w:hAnsi="Calibri"/>
                <w:bCs/>
                <w:color w:val="auto"/>
                <w:sz w:val="22"/>
                <w:szCs w:val="22"/>
              </w:rPr>
            </w:pPr>
            <w:r w:rsidRPr="001F4342">
              <w:rPr>
                <w:lang w:val="en-GB"/>
              </w:rPr>
              <w:t>”</w:t>
            </w:r>
          </w:p>
        </w:tc>
        <w:tc>
          <w:tcPr>
            <w:tcW w:w="1831"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3</w:t>
            </w:r>
          </w:p>
        </w:tc>
      </w:tr>
      <w:tr w:rsidR="00F27DFC" w:rsidTr="002279CA">
        <w:tc>
          <w:tcPr>
            <w:tcW w:w="2790" w:type="dxa"/>
            <w:tcBorders>
              <w:bottom w:val="double" w:sz="4" w:space="0" w:color="auto"/>
            </w:tcBorders>
          </w:tcPr>
          <w:p w:rsidR="00F27DFC" w:rsidRDefault="00F27DFC">
            <w:pPr>
              <w:spacing w:before="40" w:after="40"/>
              <w:rPr>
                <w:rFonts w:ascii="Calibri" w:hAnsi="Calibri"/>
                <w:bCs/>
                <w:color w:val="auto"/>
                <w:sz w:val="22"/>
                <w:szCs w:val="22"/>
              </w:rPr>
            </w:pPr>
            <w:r>
              <w:rPr>
                <w:rFonts w:ascii="Calibri" w:hAnsi="Calibri"/>
                <w:bCs/>
                <w:color w:val="auto"/>
                <w:sz w:val="22"/>
                <w:szCs w:val="22"/>
              </w:rPr>
              <w:t>Objectives</w:t>
            </w:r>
          </w:p>
        </w:tc>
        <w:tc>
          <w:tcPr>
            <w:tcW w:w="540" w:type="dxa"/>
            <w:tcBorders>
              <w:bottom w:val="double" w:sz="4" w:space="0" w:color="auto"/>
            </w:tcBorders>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4</w:t>
            </w:r>
          </w:p>
        </w:tc>
        <w:tc>
          <w:tcPr>
            <w:tcW w:w="8875" w:type="dxa"/>
            <w:tcBorders>
              <w:bottom w:val="double" w:sz="4" w:space="0" w:color="auto"/>
            </w:tcBorders>
          </w:tcPr>
          <w:p w:rsidR="00E74FBD" w:rsidRPr="00E74FBD" w:rsidRDefault="00F27DFC" w:rsidP="00E74FBD">
            <w:pPr>
              <w:spacing w:before="40" w:after="40"/>
              <w:rPr>
                <w:lang w:val="en-GB"/>
              </w:rPr>
            </w:pPr>
            <w:r w:rsidRPr="001F4342">
              <w:rPr>
                <w:lang w:val="en-GB"/>
              </w:rPr>
              <w:t>“</w:t>
            </w:r>
            <w:r w:rsidR="00E74FBD" w:rsidRPr="00E74FBD">
              <w:rPr>
                <w:lang w:val="en-GB"/>
              </w:rPr>
              <w:t xml:space="preserve">The purpose of this systematic review and meta-analysis is to study the efficacy and safety of all five currently available TNF-blockers in the treatment of RA compared to either </w:t>
            </w:r>
            <w:proofErr w:type="spellStart"/>
            <w:r w:rsidR="00E74FBD" w:rsidRPr="00E74FBD">
              <w:rPr>
                <w:lang w:val="en-GB"/>
              </w:rPr>
              <w:t>methotrexate</w:t>
            </w:r>
            <w:proofErr w:type="spellEnd"/>
            <w:r w:rsidR="00E74FBD" w:rsidRPr="00E74FBD">
              <w:rPr>
                <w:lang w:val="en-GB"/>
              </w:rPr>
              <w:t xml:space="preserve"> (MTX) and placebo or placebo alone and to perform an indirect comparison between individual substances in different drug combinations and doses and at different time points. We test the assumption that it is more efficacious and comparatively safer to use MTX in combination with a TNF-blocker in the treatment of RA compared to TNF-blocker </w:t>
            </w:r>
            <w:proofErr w:type="spellStart"/>
            <w:r w:rsidR="00E74FBD" w:rsidRPr="00E74FBD">
              <w:rPr>
                <w:lang w:val="en-GB"/>
              </w:rPr>
              <w:t>monotherapy</w:t>
            </w:r>
            <w:proofErr w:type="spellEnd"/>
            <w:r w:rsidR="00E74FBD" w:rsidRPr="00E74FBD">
              <w:rPr>
                <w:lang w:val="en-GB"/>
              </w:rPr>
              <w:t xml:space="preserve">. We study if high doses of TNF-blockers differ from regular doses in efficacy and safety. Primary efficacy endpoint is the risk ratio between intervention and control group in American College of Rheumatology (ACR) 50% improvement at 6 months </w:t>
            </w:r>
            <w:r w:rsidR="00BB0325" w:rsidRPr="00E74FBD">
              <w:rPr>
                <w:lang w:val="en-GB"/>
              </w:rPr>
              <w:fldChar w:fldCharType="begin" w:fldLock="1"/>
            </w:r>
            <w:r w:rsidR="00E74FBD" w:rsidRPr="00E74FBD">
              <w:rPr>
                <w:lang w:val="en-GB"/>
              </w:rPr>
              <w:instrText xml:space="preserve">ADDIN Mendeley Citation{f4b885b9-39f4-4fd9-a9b2-758bbc342a2f};{43139fae-a83f-4985-ada4-c6ac2fcdf617} CSL_CITATION  { "citationItems" : [ { "id" : "ITEM-1", "itemData" : { "author" : [ { "family" : "Felson", "given" : "D T" }, { "family" : "Anderson", "given" : "J J" }, { "family" : "Boers", "given" : "Maarten" }, { "family" : "Bombardier", "given" : "Claire" }, { "family" : "Chernoff", "given" : "Miriam" }, { "family" : "Fried", "given" : "Bruce" }, { "family" : "Furst", "given" : "Daniel E" }, { "family" : "Goldsmith", "given" : "Charles" }, { "family" : "Kieszak", "given" : "Stephanie" }, { "family" : "Lightfoot", "given" : "Robert" }, { "family" : "Paulus", "given" : "Harold E" }, { "family" : "Tugwell", "given" : "Peter" }, { "family" : "Weinblatt", "given" : "Michael E" }, { "family" : "Widmark", "given" : "Rudolph" }, { "family" : "Williams", "given" : "H. James" }, { "family" : "Wolfe", "given" : "Frederick" } ], "container-title" : "Arthritis and rheumatism", "id" : "ITEM-1", "issue" : "6", "issued" : { "date-parts" : [ [ "1993" ] ] }, "note" : "\u003cm:note/\u003e", "page" : "729-740", "title" : "The American Colloge of Rheumatolgy preliminary core set of disease activity measures for rheumatoid arthritis clinical trials", "type" : "article-journal", "volume" : "36" }, "uris" : [ "http://www.mendeley.com/documents/?uuid=f4b885b9-39f4-4fd9-a9b2-758bbc342a2f" ] }, { "id" : "ITEM-2", "itemData" : { "author" : [ { "family" : "Arnett", "given" : "Frank C" }, { "family" : "Edworthy", "given" : "Steven M" }, { "family" : "Bloch", "given" : "Daniel A" }, { "family" : "McShane", "given" : "Dennis J" }, { "family" : "Fries", "given" : "James F" }, { "family" : "Cooper", "given" : "Norman S" }, { "family" : "Healey", "given" : "Louis A" }, { "family" : "Kaplan", "given" : "Stephen R" }, { "family" : "Liang", "given" : "Matthew H" }, { "family" : "Luthra", "given" : "Harvinder S" }, { "family" : "Medsger", "given" : "Thomas A Jr." }, { "family" : "Mitchell", "given" : "Donald L" }, { "family" : "Neustadt", "given" : "David H" }, { "family" : "Pinals", "given" : "Robert S" }, { "family" : "Schaller", "given" : "Jane G" }, { "family" : "Sharp", "given" : "John T" }, { "family" : "Wilder", "given" : "Ronald T" }, { "family" : "Hunder", "given" : "Gene G" } ], "container-title" : "Arthritis and rheumatism", "id" : "ITEM-2", "issue" : "3", "issued" : { "date-parts" : [ [ "1988" ] ] }, "note" : "\u003cm:note/\u003e", "page" : "315-324", "title" : "The American Rheumatism Association 1987 revised criteria for the classification of rheumatoid arthritis", "type" : "article-journal", "volume" : "31" }, "uris" : [ "http://www.mendeley.com/documents/?uuid=43139fae-a83f-4985-ada4-c6ac2fcdf617" ] } ], "mendeley" : { "previouslyFormattedCitation" : "[15,16]" }, "properties" : { "noteIndex" : 0 }, "schema" : "https://github.com/citation-style-language/schema/raw/master/csl-citation.json" } </w:instrText>
            </w:r>
            <w:r w:rsidR="00BB0325" w:rsidRPr="00E74FBD">
              <w:rPr>
                <w:lang w:val="en-GB"/>
              </w:rPr>
              <w:fldChar w:fldCharType="separate"/>
            </w:r>
            <w:r w:rsidR="00E74FBD" w:rsidRPr="00E74FBD">
              <w:rPr>
                <w:lang w:val="en-GB"/>
              </w:rPr>
              <w:t>[15,16]</w:t>
            </w:r>
            <w:r w:rsidR="00BB0325" w:rsidRPr="00E74FBD">
              <w:rPr>
                <w:lang w:val="en-GB"/>
              </w:rPr>
              <w:fldChar w:fldCharType="end"/>
            </w:r>
            <w:r w:rsidR="00E74FBD" w:rsidRPr="00E74FBD">
              <w:rPr>
                <w:lang w:val="en-GB"/>
              </w:rPr>
              <w:t xml:space="preserve">. Secondary efficacy endpoints include risk ratios in ACR 20%, 50% and 70% improvements at 3, 6 and 12 months in several comparisons. Primary safety endpoint is the risk ratio between intervention and control </w:t>
            </w:r>
            <w:r w:rsidR="00E74FBD" w:rsidRPr="00E74FBD">
              <w:rPr>
                <w:lang w:val="en-GB"/>
              </w:rPr>
              <w:lastRenderedPageBreak/>
              <w:t xml:space="preserve">group in the number of discontinuations due to adverse events. Secondary safety endpoints include risk ratios in the number of adverse events, serious adverse events, infections, serious infections and injection site reactions.  </w:t>
            </w:r>
          </w:p>
          <w:p w:rsidR="00F27DFC" w:rsidRDefault="00F27DFC">
            <w:pPr>
              <w:spacing w:before="40" w:after="40"/>
              <w:rPr>
                <w:rFonts w:ascii="Calibri" w:hAnsi="Calibri"/>
                <w:bCs/>
                <w:color w:val="auto"/>
                <w:sz w:val="22"/>
                <w:szCs w:val="22"/>
              </w:rPr>
            </w:pPr>
            <w:r w:rsidRPr="001F4342">
              <w:rPr>
                <w:lang w:val="en-GB"/>
              </w:rPr>
              <w:t>”</w:t>
            </w:r>
          </w:p>
        </w:tc>
        <w:tc>
          <w:tcPr>
            <w:tcW w:w="1831" w:type="dxa"/>
            <w:tcBorders>
              <w:bottom w:val="double" w:sz="4" w:space="0" w:color="auto"/>
            </w:tcBorders>
          </w:tcPr>
          <w:p w:rsidR="00F27DFC" w:rsidRDefault="00F27DFC">
            <w:pPr>
              <w:spacing w:before="40" w:after="40"/>
              <w:rPr>
                <w:rFonts w:ascii="Calibri" w:hAnsi="Calibri"/>
                <w:bCs/>
                <w:color w:val="auto"/>
                <w:sz w:val="22"/>
                <w:szCs w:val="22"/>
              </w:rPr>
            </w:pPr>
            <w:r>
              <w:rPr>
                <w:rFonts w:ascii="Calibri" w:hAnsi="Calibri"/>
                <w:bCs/>
                <w:color w:val="auto"/>
                <w:sz w:val="22"/>
                <w:szCs w:val="22"/>
              </w:rPr>
              <w:lastRenderedPageBreak/>
              <w:t>3</w:t>
            </w:r>
          </w:p>
        </w:tc>
      </w:tr>
      <w:tr w:rsidR="00F27DFC" w:rsidTr="002279CA">
        <w:tc>
          <w:tcPr>
            <w:tcW w:w="14036" w:type="dxa"/>
            <w:gridSpan w:val="4"/>
            <w:tcBorders>
              <w:top w:val="double" w:sz="4" w:space="0" w:color="auto"/>
            </w:tcBorders>
            <w:shd w:val="clear" w:color="auto" w:fill="FFFFCC"/>
          </w:tcPr>
          <w:p w:rsidR="00F27DFC" w:rsidRDefault="00F27DFC">
            <w:pPr>
              <w:tabs>
                <w:tab w:val="decimal" w:pos="295"/>
              </w:tabs>
              <w:spacing w:before="40" w:after="20"/>
              <w:rPr>
                <w:rFonts w:ascii="Calibri" w:hAnsi="Calibri"/>
                <w:b/>
                <w:bCs/>
                <w:color w:val="auto"/>
                <w:sz w:val="22"/>
                <w:szCs w:val="22"/>
              </w:rPr>
            </w:pPr>
            <w:r>
              <w:rPr>
                <w:rFonts w:ascii="Calibri" w:hAnsi="Calibri"/>
                <w:b/>
                <w:bCs/>
                <w:color w:val="auto"/>
                <w:sz w:val="22"/>
                <w:szCs w:val="22"/>
              </w:rPr>
              <w:lastRenderedPageBreak/>
              <w:t>METHODS</w:t>
            </w:r>
          </w:p>
        </w:tc>
      </w:tr>
      <w:tr w:rsidR="00F27DFC" w:rsidTr="002279CA">
        <w:tc>
          <w:tcPr>
            <w:tcW w:w="2790"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Protocol and registration</w:t>
            </w:r>
          </w:p>
        </w:tc>
        <w:tc>
          <w:tcPr>
            <w:tcW w:w="54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5</w:t>
            </w:r>
          </w:p>
        </w:tc>
        <w:tc>
          <w:tcPr>
            <w:tcW w:w="8875" w:type="dxa"/>
          </w:tcPr>
          <w:p w:rsidR="00F27DFC" w:rsidRDefault="00F27DFC">
            <w:pPr>
              <w:spacing w:before="40" w:after="40"/>
              <w:rPr>
                <w:rFonts w:ascii="Calibri" w:hAnsi="Calibri"/>
                <w:bCs/>
                <w:color w:val="auto"/>
                <w:sz w:val="22"/>
                <w:szCs w:val="22"/>
              </w:rPr>
            </w:pPr>
            <w:r w:rsidRPr="001F4342">
              <w:rPr>
                <w:lang w:val="en-GB"/>
              </w:rPr>
              <w:t>Protocol has not been published online nor registered</w:t>
            </w:r>
          </w:p>
        </w:tc>
        <w:tc>
          <w:tcPr>
            <w:tcW w:w="1831" w:type="dxa"/>
          </w:tcPr>
          <w:p w:rsidR="00F27DFC" w:rsidRDefault="00F27DFC">
            <w:pPr>
              <w:spacing w:before="40" w:after="40"/>
              <w:rPr>
                <w:rFonts w:ascii="Calibri" w:hAnsi="Calibri"/>
                <w:bCs/>
                <w:color w:val="auto"/>
                <w:sz w:val="22"/>
                <w:szCs w:val="22"/>
              </w:rPr>
            </w:pPr>
          </w:p>
        </w:tc>
      </w:tr>
      <w:tr w:rsidR="00F27DFC" w:rsidTr="002279CA">
        <w:tc>
          <w:tcPr>
            <w:tcW w:w="2790"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Eligibility criteria</w:t>
            </w:r>
          </w:p>
        </w:tc>
        <w:tc>
          <w:tcPr>
            <w:tcW w:w="54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6</w:t>
            </w:r>
          </w:p>
        </w:tc>
        <w:tc>
          <w:tcPr>
            <w:tcW w:w="8875" w:type="dxa"/>
          </w:tcPr>
          <w:p w:rsidR="00F27DFC" w:rsidRPr="00AE1F4E" w:rsidRDefault="00F27DFC" w:rsidP="0057737F">
            <w:pPr>
              <w:jc w:val="both"/>
              <w:rPr>
                <w:lang w:val="en-GB"/>
              </w:rPr>
            </w:pPr>
            <w:r w:rsidRPr="001F4342">
              <w:rPr>
                <w:lang w:val="en-GB"/>
              </w:rPr>
              <w:t>“</w:t>
            </w:r>
            <w:r w:rsidR="00E74FBD" w:rsidRPr="00E74FBD">
              <w:rPr>
                <w:lang w:val="en-GB"/>
              </w:rPr>
              <w:t xml:space="preserve">According to inclusion criteria patients had to be at least 16 years of age; be diagnosed with RA using ACR 1987 criteria; and be randomized either to intervention or control group. Studies were to have one (or more) of the TNF-blockers as intervention and either placebo or combination of placebo and </w:t>
            </w:r>
            <w:proofErr w:type="spellStart"/>
            <w:r w:rsidR="00E74FBD" w:rsidRPr="00E74FBD">
              <w:rPr>
                <w:lang w:val="en-GB"/>
              </w:rPr>
              <w:t>methotrexate</w:t>
            </w:r>
            <w:proofErr w:type="spellEnd"/>
            <w:r w:rsidR="00E74FBD" w:rsidRPr="00E74FBD">
              <w:rPr>
                <w:lang w:val="en-GB"/>
              </w:rPr>
              <w:t xml:space="preserve"> as control. The TNF-blocker had to be delivered through the same route as the commercial drug and be within the dose range recommended for the commercially available products. Efficacy was measured in terms of ACR 20 %, 50 % and 70 % improvements and thus, at least one of these had to be reported at some time point. Information regarding safety had to be reported. Previously published systematic reviews were searched for, but excluded from the systematic review due to the inclusion criteria.</w:t>
            </w:r>
          </w:p>
          <w:p w:rsidR="00F27DFC" w:rsidRDefault="00F27DFC" w:rsidP="0057737F">
            <w:pPr>
              <w:spacing w:before="40" w:after="40"/>
              <w:rPr>
                <w:rFonts w:ascii="Calibri" w:hAnsi="Calibri"/>
                <w:bCs/>
                <w:color w:val="auto"/>
                <w:sz w:val="22"/>
                <w:szCs w:val="22"/>
              </w:rPr>
            </w:pPr>
            <w:r w:rsidRPr="001F4342">
              <w:rPr>
                <w:lang w:val="en-GB"/>
              </w:rPr>
              <w:t xml:space="preserve"> “</w:t>
            </w:r>
          </w:p>
        </w:tc>
        <w:tc>
          <w:tcPr>
            <w:tcW w:w="1831"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3</w:t>
            </w:r>
          </w:p>
        </w:tc>
      </w:tr>
      <w:tr w:rsidR="00F27DFC" w:rsidTr="002279CA">
        <w:tc>
          <w:tcPr>
            <w:tcW w:w="279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 xml:space="preserve">Information sources </w:t>
            </w:r>
          </w:p>
        </w:tc>
        <w:tc>
          <w:tcPr>
            <w:tcW w:w="54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7</w:t>
            </w:r>
          </w:p>
        </w:tc>
        <w:tc>
          <w:tcPr>
            <w:tcW w:w="8875" w:type="dxa"/>
          </w:tcPr>
          <w:p w:rsidR="00F27DFC" w:rsidRDefault="00F27DFC">
            <w:pPr>
              <w:spacing w:before="40" w:after="40"/>
              <w:rPr>
                <w:rFonts w:ascii="Calibri" w:hAnsi="Calibri"/>
                <w:bCs/>
                <w:color w:val="auto"/>
                <w:sz w:val="22"/>
                <w:szCs w:val="22"/>
              </w:rPr>
            </w:pPr>
            <w:r w:rsidRPr="001F4342">
              <w:rPr>
                <w:lang w:val="en-GB"/>
              </w:rPr>
              <w:t>“</w:t>
            </w:r>
            <w:r w:rsidR="00E74FBD" w:rsidRPr="00E74FBD">
              <w:rPr>
                <w:lang w:val="en-GB"/>
              </w:rPr>
              <w:t>References from (Ovid</w:t>
            </w:r>
            <w:r w:rsidR="00E74FBD" w:rsidRPr="00E74FBD">
              <w:rPr>
                <w:vertAlign w:val="superscript"/>
                <w:lang w:val="en-GB"/>
              </w:rPr>
              <w:t>®</w:t>
            </w:r>
            <w:r w:rsidR="00E74FBD" w:rsidRPr="00E74FBD">
              <w:rPr>
                <w:lang w:val="en-GB"/>
              </w:rPr>
              <w:t xml:space="preserve">) Medline, Cochrane library (Cochrane Central register of Controlled Trials, Cochrane Database for Systematic Reviews, Health Technology Assessment, Database of Abstracts of Reviews of Effects, NHS Economic Evaluation, Cochrane Methodology Register), SCOPUS (including </w:t>
            </w:r>
            <w:proofErr w:type="spellStart"/>
            <w:r w:rsidR="00E74FBD" w:rsidRPr="00E74FBD">
              <w:rPr>
                <w:lang w:val="en-GB"/>
              </w:rPr>
              <w:t>Embase</w:t>
            </w:r>
            <w:proofErr w:type="spellEnd"/>
            <w:r w:rsidR="00E74FBD" w:rsidRPr="00E74FBD">
              <w:rPr>
                <w:lang w:val="en-GB"/>
              </w:rPr>
              <w:t>), ISI web of knowledge and several other databases were extracted and imported to reference management software (</w:t>
            </w:r>
            <w:proofErr w:type="spellStart"/>
            <w:r w:rsidR="00E74FBD" w:rsidRPr="00E74FBD">
              <w:rPr>
                <w:lang w:val="en-GB"/>
              </w:rPr>
              <w:t>RefWorks</w:t>
            </w:r>
            <w:proofErr w:type="spellEnd"/>
            <w:r w:rsidR="00E74FBD" w:rsidRPr="00E74FBD">
              <w:rPr>
                <w:lang w:val="en-GB"/>
              </w:rPr>
              <w:t>). Clinical trial register (clinicaltrials.gov) was hand searched for unpublished trials.</w:t>
            </w:r>
            <w:r w:rsidR="00E74FBD" w:rsidRPr="00E74FBD" w:rsidDel="00E74FBD">
              <w:rPr>
                <w:lang w:val="en-GB"/>
              </w:rPr>
              <w:t xml:space="preserve"> </w:t>
            </w:r>
            <w:r w:rsidRPr="001F4342">
              <w:rPr>
                <w:lang w:val="en-GB"/>
              </w:rPr>
              <w:t>“</w:t>
            </w:r>
          </w:p>
        </w:tc>
        <w:tc>
          <w:tcPr>
            <w:tcW w:w="1831"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4</w:t>
            </w:r>
          </w:p>
        </w:tc>
      </w:tr>
      <w:tr w:rsidR="00F27DFC" w:rsidTr="002279CA">
        <w:tc>
          <w:tcPr>
            <w:tcW w:w="2790"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lastRenderedPageBreak/>
              <w:t>Search</w:t>
            </w:r>
          </w:p>
        </w:tc>
        <w:tc>
          <w:tcPr>
            <w:tcW w:w="54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8</w:t>
            </w:r>
          </w:p>
        </w:tc>
        <w:tc>
          <w:tcPr>
            <w:tcW w:w="8875" w:type="dxa"/>
          </w:tcPr>
          <w:p w:rsidR="00D477A8" w:rsidRPr="00D477A8" w:rsidRDefault="00F27DFC" w:rsidP="00D477A8">
            <w:pPr>
              <w:jc w:val="both"/>
              <w:rPr>
                <w:lang w:val="fi-FI"/>
              </w:rPr>
            </w:pPr>
            <w:r w:rsidRPr="001F4342">
              <w:rPr>
                <w:lang w:val="en-GB"/>
              </w:rPr>
              <w:t>“</w:t>
            </w:r>
            <w:r w:rsidR="00D477A8" w:rsidRPr="00D477A8">
              <w:rPr>
                <w:lang w:val="en-GB"/>
              </w:rPr>
              <w:t xml:space="preserve">Search strategy was designed and performed by a librarian by our request. We used the search terms rheumatoid arthritis, anti-TNF, </w:t>
            </w:r>
            <w:proofErr w:type="spellStart"/>
            <w:r w:rsidR="00D477A8" w:rsidRPr="00D477A8">
              <w:rPr>
                <w:lang w:val="en-GB"/>
              </w:rPr>
              <w:t>infliximab</w:t>
            </w:r>
            <w:proofErr w:type="spellEnd"/>
            <w:r w:rsidR="00D477A8" w:rsidRPr="00D477A8">
              <w:rPr>
                <w:lang w:val="en-GB"/>
              </w:rPr>
              <w:t xml:space="preserve">, </w:t>
            </w:r>
            <w:proofErr w:type="spellStart"/>
            <w:r w:rsidR="00D477A8" w:rsidRPr="00D477A8">
              <w:rPr>
                <w:lang w:val="en-GB"/>
              </w:rPr>
              <w:t>etanercept</w:t>
            </w:r>
            <w:proofErr w:type="spellEnd"/>
            <w:r w:rsidR="00D477A8" w:rsidRPr="00D477A8">
              <w:rPr>
                <w:lang w:val="en-GB"/>
              </w:rPr>
              <w:t xml:space="preserve">, </w:t>
            </w:r>
            <w:proofErr w:type="spellStart"/>
            <w:r w:rsidR="00D477A8" w:rsidRPr="00D477A8">
              <w:rPr>
                <w:lang w:val="en-GB"/>
              </w:rPr>
              <w:t>adalimumab</w:t>
            </w:r>
            <w:proofErr w:type="spellEnd"/>
            <w:r w:rsidR="00D477A8" w:rsidRPr="00D477A8">
              <w:rPr>
                <w:lang w:val="en-GB"/>
              </w:rPr>
              <w:t xml:space="preserve">, </w:t>
            </w:r>
            <w:proofErr w:type="spellStart"/>
            <w:r w:rsidR="00D477A8" w:rsidRPr="00D477A8">
              <w:rPr>
                <w:lang w:val="en-GB"/>
              </w:rPr>
              <w:t>golimumab</w:t>
            </w:r>
            <w:proofErr w:type="spellEnd"/>
            <w:r w:rsidR="00D477A8" w:rsidRPr="00D477A8">
              <w:rPr>
                <w:lang w:val="en-GB"/>
              </w:rPr>
              <w:t xml:space="preserve">, </w:t>
            </w:r>
            <w:proofErr w:type="spellStart"/>
            <w:r w:rsidR="00D477A8" w:rsidRPr="00D477A8">
              <w:rPr>
                <w:lang w:val="en-GB"/>
              </w:rPr>
              <w:t>certolizumab</w:t>
            </w:r>
            <w:proofErr w:type="spellEnd"/>
            <w:r w:rsidR="00D477A8" w:rsidRPr="00D477A8">
              <w:rPr>
                <w:lang w:val="en-GB"/>
              </w:rPr>
              <w:t>, randomized clinical trials and systematic review. Variations in spelling were taken into account.</w:t>
            </w:r>
          </w:p>
          <w:p w:rsidR="00D477A8" w:rsidRPr="00D477A8" w:rsidRDefault="00D477A8" w:rsidP="00D477A8">
            <w:pPr>
              <w:jc w:val="both"/>
              <w:rPr>
                <w:lang w:val="en-GB"/>
              </w:rPr>
            </w:pPr>
            <w:r w:rsidRPr="00D477A8">
              <w:rPr>
                <w:lang w:val="en-GB"/>
              </w:rPr>
              <w:t>There were no restrictions on study language. For search strategy, see table S1.</w:t>
            </w:r>
          </w:p>
          <w:p w:rsidR="00F27DFC" w:rsidRPr="0070477F" w:rsidRDefault="00F27DFC" w:rsidP="0057737F">
            <w:pPr>
              <w:jc w:val="both"/>
              <w:rPr>
                <w:lang w:val="en-GB"/>
              </w:rPr>
            </w:pPr>
            <w:r>
              <w:rPr>
                <w:lang w:val="en-GB"/>
              </w:rPr>
              <w:t>.”</w:t>
            </w:r>
          </w:p>
          <w:p w:rsidR="00F27DFC" w:rsidRDefault="00F27DFC">
            <w:pPr>
              <w:spacing w:before="40" w:after="40"/>
              <w:rPr>
                <w:rFonts w:ascii="Calibri" w:hAnsi="Calibri"/>
                <w:bCs/>
                <w:color w:val="auto"/>
                <w:sz w:val="22"/>
                <w:szCs w:val="22"/>
              </w:rPr>
            </w:pPr>
          </w:p>
        </w:tc>
        <w:tc>
          <w:tcPr>
            <w:tcW w:w="1831"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4</w:t>
            </w:r>
          </w:p>
        </w:tc>
      </w:tr>
      <w:tr w:rsidR="00F27DFC" w:rsidTr="002279CA">
        <w:tc>
          <w:tcPr>
            <w:tcW w:w="2790"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 xml:space="preserve">Study selection </w:t>
            </w:r>
          </w:p>
        </w:tc>
        <w:tc>
          <w:tcPr>
            <w:tcW w:w="54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9</w:t>
            </w:r>
          </w:p>
        </w:tc>
        <w:tc>
          <w:tcPr>
            <w:tcW w:w="8875" w:type="dxa"/>
          </w:tcPr>
          <w:p w:rsidR="00F27DFC" w:rsidRDefault="00F27DFC" w:rsidP="0057737F">
            <w:pPr>
              <w:jc w:val="both"/>
              <w:rPr>
                <w:lang w:val="en-GB"/>
              </w:rPr>
            </w:pPr>
            <w:r w:rsidRPr="001F4342">
              <w:rPr>
                <w:lang w:val="en-GB"/>
              </w:rPr>
              <w:t>“</w:t>
            </w:r>
            <w:r w:rsidR="00D477A8" w:rsidRPr="00D477A8">
              <w:rPr>
                <w:lang w:val="en-GB"/>
              </w:rPr>
              <w:t>References were evaluated by two individual investigators (KA, LV) using pre-defined inclusion and exclusion criteria. Decision for inclusion was made on consensus. A third investigator (YTK) made the final decision in case of disagreement. Evaluation was based on title and abstract whenever available. Full text articles from potentially relevant references were obtained in electronic or printed format and re-evaluated for inclusion by the same investigators as before.</w:t>
            </w:r>
          </w:p>
          <w:p w:rsidR="00F27DFC" w:rsidRDefault="00F27DFC">
            <w:pPr>
              <w:spacing w:before="40" w:after="40"/>
              <w:rPr>
                <w:rFonts w:ascii="Calibri" w:hAnsi="Calibri"/>
                <w:bCs/>
                <w:color w:val="auto"/>
                <w:sz w:val="22"/>
                <w:szCs w:val="22"/>
              </w:rPr>
            </w:pPr>
            <w:r w:rsidRPr="001F4342">
              <w:rPr>
                <w:lang w:val="en-GB"/>
              </w:rPr>
              <w:t>”</w:t>
            </w:r>
          </w:p>
        </w:tc>
        <w:tc>
          <w:tcPr>
            <w:tcW w:w="1831"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4</w:t>
            </w:r>
          </w:p>
        </w:tc>
      </w:tr>
      <w:tr w:rsidR="00F27DFC" w:rsidTr="002279CA">
        <w:tc>
          <w:tcPr>
            <w:tcW w:w="2790"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Data collection process</w:t>
            </w:r>
          </w:p>
        </w:tc>
        <w:tc>
          <w:tcPr>
            <w:tcW w:w="54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10</w:t>
            </w:r>
          </w:p>
        </w:tc>
        <w:tc>
          <w:tcPr>
            <w:tcW w:w="8875" w:type="dxa"/>
          </w:tcPr>
          <w:p w:rsidR="00F27DFC" w:rsidRDefault="00F27DFC">
            <w:pPr>
              <w:spacing w:before="40" w:after="40"/>
              <w:rPr>
                <w:rFonts w:ascii="Calibri" w:hAnsi="Calibri"/>
                <w:bCs/>
                <w:color w:val="auto"/>
                <w:sz w:val="22"/>
                <w:szCs w:val="22"/>
              </w:rPr>
            </w:pPr>
            <w:r w:rsidRPr="001F4342">
              <w:rPr>
                <w:lang w:val="en-GB"/>
              </w:rPr>
              <w:t>“</w:t>
            </w:r>
            <w:r w:rsidRPr="00A01F8A">
              <w:rPr>
                <w:lang w:val="en-GB"/>
              </w:rPr>
              <w:t xml:space="preserve">Data </w:t>
            </w:r>
            <w:r>
              <w:rPr>
                <w:lang w:val="en-GB"/>
              </w:rPr>
              <w:t xml:space="preserve">on </w:t>
            </w:r>
            <w:r w:rsidRPr="00A01F8A">
              <w:rPr>
                <w:lang w:val="en-GB"/>
              </w:rPr>
              <w:t>study design, patient status and background, efficacy and safety w</w:t>
            </w:r>
            <w:r>
              <w:rPr>
                <w:lang w:val="en-GB"/>
              </w:rPr>
              <w:t>ere</w:t>
            </w:r>
            <w:r w:rsidRPr="00A01F8A">
              <w:rPr>
                <w:lang w:val="en-GB"/>
              </w:rPr>
              <w:t xml:space="preserve"> extracted from</w:t>
            </w:r>
            <w:r>
              <w:rPr>
                <w:lang w:val="en-GB"/>
              </w:rPr>
              <w:t xml:space="preserve"> the</w:t>
            </w:r>
            <w:r w:rsidRPr="00A01F8A">
              <w:rPr>
                <w:lang w:val="en-GB"/>
              </w:rPr>
              <w:t xml:space="preserve"> publications using an </w:t>
            </w:r>
            <w:r>
              <w:rPr>
                <w:lang w:val="en-GB"/>
              </w:rPr>
              <w:t xml:space="preserve">Excel </w:t>
            </w:r>
            <w:r w:rsidRPr="00A01F8A">
              <w:rPr>
                <w:lang w:val="en-GB"/>
              </w:rPr>
              <w:t>data extraction form by two independent researchers (KA, LV)</w:t>
            </w:r>
            <w:proofErr w:type="gramStart"/>
            <w:r>
              <w:rPr>
                <w:lang w:val="en-GB"/>
              </w:rPr>
              <w:t>.</w:t>
            </w:r>
            <w:r w:rsidRPr="001F4342">
              <w:rPr>
                <w:lang w:val="en-GB"/>
              </w:rPr>
              <w:t>.”</w:t>
            </w:r>
            <w:proofErr w:type="gramEnd"/>
          </w:p>
        </w:tc>
        <w:tc>
          <w:tcPr>
            <w:tcW w:w="1831"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4</w:t>
            </w:r>
          </w:p>
        </w:tc>
      </w:tr>
      <w:tr w:rsidR="00F27DFC" w:rsidTr="002279CA">
        <w:tc>
          <w:tcPr>
            <w:tcW w:w="2790"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 xml:space="preserve">Data items </w:t>
            </w:r>
          </w:p>
        </w:tc>
        <w:tc>
          <w:tcPr>
            <w:tcW w:w="54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11</w:t>
            </w:r>
          </w:p>
        </w:tc>
        <w:tc>
          <w:tcPr>
            <w:tcW w:w="8875" w:type="dxa"/>
          </w:tcPr>
          <w:p w:rsidR="00F27DFC" w:rsidRDefault="00F27DFC">
            <w:pPr>
              <w:spacing w:before="40" w:after="40"/>
              <w:rPr>
                <w:rFonts w:ascii="Calibri" w:hAnsi="Calibri"/>
                <w:bCs/>
                <w:color w:val="auto"/>
                <w:sz w:val="22"/>
                <w:szCs w:val="22"/>
              </w:rPr>
            </w:pPr>
            <w:r>
              <w:rPr>
                <w:lang w:val="en-GB"/>
              </w:rPr>
              <w:t>“…</w:t>
            </w:r>
            <w:r w:rsidRPr="00A01F8A">
              <w:rPr>
                <w:lang w:val="en-GB"/>
              </w:rPr>
              <w:t>study design, patient status and background, efficacy and safety</w:t>
            </w:r>
            <w:r>
              <w:rPr>
                <w:lang w:val="en-GB"/>
              </w:rPr>
              <w:t>…”</w:t>
            </w:r>
          </w:p>
        </w:tc>
        <w:tc>
          <w:tcPr>
            <w:tcW w:w="1831"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4</w:t>
            </w:r>
          </w:p>
        </w:tc>
      </w:tr>
      <w:tr w:rsidR="00F27DFC" w:rsidTr="002279CA">
        <w:tc>
          <w:tcPr>
            <w:tcW w:w="2790"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Risk of bias in individual studies</w:t>
            </w:r>
          </w:p>
        </w:tc>
        <w:tc>
          <w:tcPr>
            <w:tcW w:w="54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12</w:t>
            </w:r>
          </w:p>
        </w:tc>
        <w:tc>
          <w:tcPr>
            <w:tcW w:w="8875" w:type="dxa"/>
          </w:tcPr>
          <w:p w:rsidR="00F27DFC" w:rsidRPr="0070477F" w:rsidRDefault="00F27DFC" w:rsidP="00064F56">
            <w:pPr>
              <w:jc w:val="both"/>
              <w:rPr>
                <w:lang w:val="en-GB"/>
              </w:rPr>
            </w:pPr>
            <w:r w:rsidRPr="001F4342">
              <w:rPr>
                <w:lang w:val="en-GB"/>
              </w:rPr>
              <w:t>“</w:t>
            </w:r>
            <w:r w:rsidR="00D477A8" w:rsidRPr="00D477A8">
              <w:rPr>
                <w:lang w:val="en-GB"/>
              </w:rPr>
              <w:t xml:space="preserve">As instructed in the Cochrane handbook for systematic reviews of interventions, the investigators performed an evaluation of bias rather than of methodological quality. Studies included were evaluated for an eventual bias using methods described in the Cochrane handbook. The study was to be considered “possibly biased” in case a possible source of bias was found in any of the seven dimensions evaluated. The following dimensions were considered in the bias assessment tool: Allocation sequence generation, allocation concealment, blinding of participants, personnel and outcome, incomplete outcome data, selective outcome reporting and other sources of </w:t>
            </w:r>
            <w:r w:rsidR="00D477A8" w:rsidRPr="00D477A8">
              <w:rPr>
                <w:lang w:val="en-GB"/>
              </w:rPr>
              <w:lastRenderedPageBreak/>
              <w:t xml:space="preserve">bias. </w:t>
            </w:r>
            <w:r w:rsidRPr="00A01F8A">
              <w:rPr>
                <w:lang w:val="en-GB"/>
              </w:rPr>
              <w:t xml:space="preserve"> </w:t>
            </w:r>
          </w:p>
          <w:p w:rsidR="00F27DFC" w:rsidRDefault="00F27DFC" w:rsidP="00064F56">
            <w:pPr>
              <w:spacing w:before="40" w:after="40"/>
              <w:rPr>
                <w:rFonts w:ascii="Calibri" w:hAnsi="Calibri"/>
                <w:bCs/>
                <w:color w:val="auto"/>
                <w:sz w:val="22"/>
                <w:szCs w:val="22"/>
              </w:rPr>
            </w:pPr>
            <w:r w:rsidRPr="001F4342">
              <w:rPr>
                <w:lang w:val="en-GB"/>
              </w:rPr>
              <w:t xml:space="preserve"> “</w:t>
            </w:r>
          </w:p>
        </w:tc>
        <w:tc>
          <w:tcPr>
            <w:tcW w:w="1831"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lastRenderedPageBreak/>
              <w:t>4</w:t>
            </w:r>
          </w:p>
        </w:tc>
      </w:tr>
      <w:tr w:rsidR="00F27DFC" w:rsidTr="002279CA">
        <w:trPr>
          <w:trHeight w:val="251"/>
        </w:trPr>
        <w:tc>
          <w:tcPr>
            <w:tcW w:w="279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lastRenderedPageBreak/>
              <w:t>Summary measures</w:t>
            </w:r>
          </w:p>
        </w:tc>
        <w:tc>
          <w:tcPr>
            <w:tcW w:w="54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13</w:t>
            </w:r>
          </w:p>
        </w:tc>
        <w:tc>
          <w:tcPr>
            <w:tcW w:w="8875" w:type="dxa"/>
          </w:tcPr>
          <w:p w:rsidR="00F27DFC" w:rsidRDefault="00F27DFC">
            <w:pPr>
              <w:spacing w:before="40" w:after="40"/>
              <w:rPr>
                <w:rFonts w:ascii="Calibri" w:hAnsi="Calibri"/>
                <w:b/>
                <w:color w:val="auto"/>
                <w:sz w:val="22"/>
                <w:szCs w:val="22"/>
              </w:rPr>
            </w:pPr>
            <w:r w:rsidRPr="001F4342">
              <w:rPr>
                <w:lang w:val="en-GB"/>
              </w:rPr>
              <w:t>“</w:t>
            </w:r>
            <w:r w:rsidR="00D477A8" w:rsidRPr="00D477A8">
              <w:rPr>
                <w:lang w:val="en-GB"/>
              </w:rPr>
              <w:t xml:space="preserve">Primary efficacy endpoint is the risk ratio between intervention and control group in American College of Rheumatology (ACR) 50% improvement at 6 months </w:t>
            </w:r>
            <w:r w:rsidR="00BB0325" w:rsidRPr="00D477A8">
              <w:rPr>
                <w:lang w:val="en-GB"/>
              </w:rPr>
              <w:fldChar w:fldCharType="begin" w:fldLock="1"/>
            </w:r>
            <w:r w:rsidR="00D477A8" w:rsidRPr="00D477A8">
              <w:rPr>
                <w:lang w:val="en-GB"/>
              </w:rPr>
              <w:instrText xml:space="preserve">ADDIN Mendeley Citation{f4b885b9-39f4-4fd9-a9b2-758bbc342a2f};{43139fae-a83f-4985-ada4-c6ac2fcdf617} CSL_CITATION  { "citationItems" : [ { "id" : "ITEM-1", "itemData" : { "author" : [ { "family" : "Felson", "given" : "D T" }, { "family" : "Anderson", "given" : "J J" }, { "family" : "Boers", "given" : "Maarten" }, { "family" : "Bombardier", "given" : "Claire" }, { "family" : "Chernoff", "given" : "Miriam" }, { "family" : "Fried", "given" : "Bruce" }, { "family" : "Furst", "given" : "Daniel E" }, { "family" : "Goldsmith", "given" : "Charles" }, { "family" : "Kieszak", "given" : "Stephanie" }, { "family" : "Lightfoot", "given" : "Robert" }, { "family" : "Paulus", "given" : "Harold E" }, { "family" : "Tugwell", "given" : "Peter" }, { "family" : "Weinblatt", "given" : "Michael E" }, { "family" : "Widmark", "given" : "Rudolph" }, { "family" : "Williams", "given" : "H. James" }, { "family" : "Wolfe", "given" : "Frederick" } ], "container-title" : "Arthritis and rheumatism", "id" : "ITEM-1", "issue" : "6", "issued" : { "date-parts" : [ [ "1993" ] ] }, "note" : "\u003cm:note/\u003e", "page" : "729-740", "title" : "The American Colloge of Rheumatolgy preliminary core set of disease activity measures for rheumatoid arthritis clinical trials", "type" : "article-journal", "volume" : "36" }, "uris" : [ "http://www.mendeley.com/documents/?uuid=f4b885b9-39f4-4fd9-a9b2-758bbc342a2f" ] }, { "id" : "ITEM-2", "itemData" : { "author" : [ { "family" : "Arnett", "given" : "Frank C" }, { "family" : "Edworthy", "given" : "Steven M" }, { "family" : "Bloch", "given" : "Daniel A" }, { "family" : "McShane", "given" : "Dennis J" }, { "family" : "Fries", "given" : "James F" }, { "family" : "Cooper", "given" : "Norman S" }, { "family" : "Healey", "given" : "Louis A" }, { "family" : "Kaplan", "given" : "Stephen R" }, { "family" : "Liang", "given" : "Matthew H" }, { "family" : "Luthra", "given" : "Harvinder S" }, { "family" : "Medsger", "given" : "Thomas A Jr." }, { "family" : "Mitchell", "given" : "Donald L" }, { "family" : "Neustadt", "given" : "David H" }, { "family" : "Pinals", "given" : "Robert S" }, { "family" : "Schaller", "given" : "Jane G" }, { "family" : "Sharp", "given" : "John T" }, { "family" : "Wilder", "given" : "Ronald T" }, { "family" : "Hunder", "given" : "Gene G" } ], "container-title" : "Arthritis and rheumatism", "id" : "ITEM-2", "issue" : "3", "issued" : { "date-parts" : [ [ "1988" ] ] }, "note" : "\u003cm:note/\u003e", "page" : "315-324", "title" : "The American Rheumatism Association 1987 revised criteria for the classification of rheumatoid arthritis", "type" : "article-journal", "volume" : "31" }, "uris" : [ "http://www.mendeley.com/documents/?uuid=43139fae-a83f-4985-ada4-c6ac2fcdf617" ] } ], "mendeley" : { "previouslyFormattedCitation" : "[15,16]" }, "properties" : { "noteIndex" : 0 }, "schema" : "https://github.com/citation-style-language/schema/raw/master/csl-citation.json" } </w:instrText>
            </w:r>
            <w:r w:rsidR="00BB0325" w:rsidRPr="00D477A8">
              <w:rPr>
                <w:lang w:val="en-GB"/>
              </w:rPr>
              <w:fldChar w:fldCharType="separate"/>
            </w:r>
            <w:r w:rsidR="00D477A8" w:rsidRPr="00D477A8">
              <w:rPr>
                <w:lang w:val="en-GB"/>
              </w:rPr>
              <w:t>[15,16]</w:t>
            </w:r>
            <w:r w:rsidR="00BB0325" w:rsidRPr="00D477A8">
              <w:rPr>
                <w:lang w:val="en-GB"/>
              </w:rPr>
              <w:fldChar w:fldCharType="end"/>
            </w:r>
            <w:r w:rsidR="00D477A8" w:rsidRPr="00D477A8">
              <w:rPr>
                <w:lang w:val="en-GB"/>
              </w:rPr>
              <w:t xml:space="preserve">. Secondary efficacy endpoints include risk ratios in ACR 20%, 50% and 70% improvements at 3, 6 and 12 months in several comparisons. Primary safety endpoint is the risk ratio between intervention and control group in the number of discontinuations due to adverse events. Secondary safety endpoints include risk ratios in the number of adverse events, serious adverse events, infections, serious infections and injection site reactions.  </w:t>
            </w:r>
            <w:r w:rsidRPr="001F4342">
              <w:rPr>
                <w:lang w:val="en-GB"/>
              </w:rPr>
              <w:t>”</w:t>
            </w:r>
          </w:p>
        </w:tc>
        <w:tc>
          <w:tcPr>
            <w:tcW w:w="1831"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3</w:t>
            </w:r>
          </w:p>
        </w:tc>
      </w:tr>
      <w:tr w:rsidR="00F27DFC" w:rsidTr="002279CA">
        <w:tc>
          <w:tcPr>
            <w:tcW w:w="2790"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Synthesis of results</w:t>
            </w:r>
          </w:p>
        </w:tc>
        <w:tc>
          <w:tcPr>
            <w:tcW w:w="54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14</w:t>
            </w:r>
          </w:p>
        </w:tc>
        <w:tc>
          <w:tcPr>
            <w:tcW w:w="8875" w:type="dxa"/>
          </w:tcPr>
          <w:p w:rsidR="00D477A8" w:rsidRPr="00D477A8" w:rsidRDefault="00F27DFC" w:rsidP="00D477A8">
            <w:pPr>
              <w:jc w:val="both"/>
              <w:rPr>
                <w:lang w:val="en-GB"/>
              </w:rPr>
            </w:pPr>
            <w:r w:rsidRPr="001F4342">
              <w:rPr>
                <w:lang w:val="en-GB"/>
              </w:rPr>
              <w:t>“</w:t>
            </w:r>
            <w:r w:rsidR="00D477A8" w:rsidRPr="00D477A8">
              <w:rPr>
                <w:lang w:val="en-GB"/>
              </w:rPr>
              <w:t xml:space="preserve">Data were analyzed using the intention to treat results from the included studies. Meta-analyses were performed using Cochrane Collaboration Review Manager 5.0 software. Sensitivity analyses were employed to account for the possible bias. In some settings several time points were combined to increase the power. Efficacy and safety were analyzed using dichotomous data to obtain risk ratios. Dichotomous efficacy data included ACR 20 %, 50 % and 70 % improvements whereas dichotomous safety data was composed of the proportion of patients who experienced an adverse outcome or discontinued the treatment due to adverse events. </w:t>
            </w:r>
            <w:r w:rsidR="00D477A8" w:rsidRPr="00D477A8">
              <w:rPr>
                <w:lang w:val="en-US"/>
              </w:rPr>
              <w:t xml:space="preserve">The efficacy and safety of TNF-blockers was analyzed </w:t>
            </w:r>
            <w:r w:rsidR="00D477A8" w:rsidRPr="00D477A8">
              <w:rPr>
                <w:lang w:val="en-GB"/>
              </w:rPr>
              <w:t>in six different main comparisons. Random effects model was used to account for the diversity of the studies. Heterogeneity was evaluated via subgroup analysis using Chi square and I</w:t>
            </w:r>
            <w:r w:rsidR="00D477A8" w:rsidRPr="00D477A8">
              <w:rPr>
                <w:vertAlign w:val="superscript"/>
                <w:lang w:val="en-GB"/>
              </w:rPr>
              <w:t>2</w:t>
            </w:r>
            <w:r w:rsidR="00D477A8" w:rsidRPr="00D477A8">
              <w:rPr>
                <w:lang w:val="en-GB"/>
              </w:rPr>
              <w:t xml:space="preserve">-statistics. </w:t>
            </w:r>
          </w:p>
          <w:p w:rsidR="00F27DFC" w:rsidRDefault="00F27DFC" w:rsidP="00064F56">
            <w:pPr>
              <w:jc w:val="both"/>
              <w:rPr>
                <w:rFonts w:ascii="Calibri" w:hAnsi="Calibri"/>
                <w:bCs/>
                <w:color w:val="auto"/>
                <w:sz w:val="22"/>
                <w:szCs w:val="22"/>
              </w:rPr>
            </w:pPr>
          </w:p>
        </w:tc>
        <w:tc>
          <w:tcPr>
            <w:tcW w:w="1831"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4</w:t>
            </w:r>
          </w:p>
        </w:tc>
      </w:tr>
      <w:tr w:rsidR="00F27DFC" w:rsidTr="002279CA">
        <w:trPr>
          <w:trHeight w:val="323"/>
        </w:trPr>
        <w:tc>
          <w:tcPr>
            <w:tcW w:w="279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Risk of bias across studies</w:t>
            </w:r>
          </w:p>
        </w:tc>
        <w:tc>
          <w:tcPr>
            <w:tcW w:w="54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15</w:t>
            </w:r>
          </w:p>
        </w:tc>
        <w:tc>
          <w:tcPr>
            <w:tcW w:w="8875" w:type="dxa"/>
          </w:tcPr>
          <w:p w:rsidR="00F27DFC" w:rsidRDefault="00F27DFC" w:rsidP="00EE5500">
            <w:pPr>
              <w:spacing w:before="40" w:after="40"/>
              <w:rPr>
                <w:rFonts w:ascii="Calibri" w:hAnsi="Calibri"/>
                <w:bCs/>
                <w:color w:val="auto"/>
                <w:sz w:val="22"/>
                <w:szCs w:val="22"/>
              </w:rPr>
            </w:pPr>
            <w:r w:rsidRPr="001F4342">
              <w:rPr>
                <w:lang w:val="en-GB"/>
              </w:rPr>
              <w:t>Risk of bias across studies was not formally assessed</w:t>
            </w:r>
            <w:r>
              <w:rPr>
                <w:rFonts w:ascii="Calibri" w:hAnsi="Calibri"/>
                <w:bCs/>
                <w:color w:val="auto"/>
                <w:sz w:val="22"/>
                <w:szCs w:val="22"/>
              </w:rPr>
              <w:t xml:space="preserve"> </w:t>
            </w:r>
          </w:p>
        </w:tc>
        <w:tc>
          <w:tcPr>
            <w:tcW w:w="1831" w:type="dxa"/>
          </w:tcPr>
          <w:p w:rsidR="00F27DFC" w:rsidRDefault="00F27DFC">
            <w:pPr>
              <w:spacing w:before="40" w:after="40"/>
              <w:rPr>
                <w:rFonts w:ascii="Calibri" w:hAnsi="Calibri"/>
                <w:bCs/>
                <w:color w:val="auto"/>
                <w:sz w:val="22"/>
                <w:szCs w:val="22"/>
              </w:rPr>
            </w:pPr>
          </w:p>
        </w:tc>
      </w:tr>
      <w:tr w:rsidR="00F27DFC" w:rsidTr="002279CA">
        <w:trPr>
          <w:trHeight w:val="530"/>
        </w:trPr>
        <w:tc>
          <w:tcPr>
            <w:tcW w:w="2790"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Additional analyses</w:t>
            </w:r>
          </w:p>
        </w:tc>
        <w:tc>
          <w:tcPr>
            <w:tcW w:w="540" w:type="dxa"/>
          </w:tcPr>
          <w:p w:rsidR="00F27DFC" w:rsidRDefault="00F27DFC">
            <w:pPr>
              <w:tabs>
                <w:tab w:val="decimal" w:pos="295"/>
              </w:tabs>
              <w:spacing w:before="40" w:after="40"/>
              <w:rPr>
                <w:rFonts w:ascii="Calibri" w:hAnsi="Calibri"/>
                <w:color w:val="auto"/>
                <w:sz w:val="22"/>
                <w:szCs w:val="22"/>
              </w:rPr>
            </w:pPr>
            <w:r>
              <w:rPr>
                <w:rFonts w:ascii="Calibri" w:hAnsi="Calibri"/>
                <w:color w:val="auto"/>
                <w:sz w:val="22"/>
                <w:szCs w:val="22"/>
              </w:rPr>
              <w:t>16</w:t>
            </w:r>
          </w:p>
        </w:tc>
        <w:tc>
          <w:tcPr>
            <w:tcW w:w="8875" w:type="dxa"/>
          </w:tcPr>
          <w:p w:rsidR="00F27DFC" w:rsidRDefault="00F27DFC" w:rsidP="00064F56">
            <w:pPr>
              <w:spacing w:before="40" w:after="40"/>
              <w:rPr>
                <w:rFonts w:ascii="Calibri" w:hAnsi="Calibri"/>
                <w:bCs/>
                <w:color w:val="auto"/>
                <w:sz w:val="22"/>
                <w:szCs w:val="22"/>
              </w:rPr>
            </w:pPr>
            <w:r w:rsidRPr="001F4342">
              <w:rPr>
                <w:lang w:val="en-GB"/>
              </w:rPr>
              <w:t>“</w:t>
            </w:r>
            <w:r>
              <w:rPr>
                <w:lang w:val="en-GB"/>
              </w:rPr>
              <w:t>S</w:t>
            </w:r>
            <w:r w:rsidRPr="00A01F8A">
              <w:rPr>
                <w:lang w:val="en-GB"/>
              </w:rPr>
              <w:t>ensitivity analyses were employed to account for the possible bias</w:t>
            </w:r>
            <w:r w:rsidRPr="001F4342">
              <w:rPr>
                <w:lang w:val="en-GB"/>
              </w:rPr>
              <w:t>.</w:t>
            </w:r>
            <w:r>
              <w:rPr>
                <w:lang w:val="en-GB"/>
              </w:rPr>
              <w:t>”, “To investigate the possible effect of patients’ baseline disease activity on efficacy, two additional analyses were performed.”, In addition, several subgroup analyses were performed.</w:t>
            </w:r>
          </w:p>
        </w:tc>
        <w:tc>
          <w:tcPr>
            <w:tcW w:w="1831"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4-6</w:t>
            </w:r>
          </w:p>
        </w:tc>
      </w:tr>
      <w:tr w:rsidR="00F27DFC" w:rsidTr="002279CA">
        <w:tc>
          <w:tcPr>
            <w:tcW w:w="14036" w:type="dxa"/>
            <w:gridSpan w:val="4"/>
            <w:tcBorders>
              <w:top w:val="double" w:sz="4" w:space="0" w:color="auto"/>
            </w:tcBorders>
            <w:shd w:val="clear" w:color="auto" w:fill="FFFFCC"/>
          </w:tcPr>
          <w:p w:rsidR="00F27DFC" w:rsidRDefault="00F27DFC">
            <w:pPr>
              <w:pStyle w:val="Otsikko9"/>
              <w:keepNext w:val="0"/>
              <w:tabs>
                <w:tab w:val="decimal" w:pos="295"/>
              </w:tabs>
              <w:spacing w:after="20"/>
              <w:rPr>
                <w:rFonts w:ascii="Calibri" w:hAnsi="Calibri"/>
                <w:color w:val="auto"/>
                <w:sz w:val="22"/>
                <w:szCs w:val="22"/>
              </w:rPr>
            </w:pPr>
            <w:r>
              <w:rPr>
                <w:rFonts w:ascii="Calibri" w:hAnsi="Calibri"/>
                <w:color w:val="auto"/>
                <w:sz w:val="22"/>
                <w:szCs w:val="22"/>
              </w:rPr>
              <w:lastRenderedPageBreak/>
              <w:t>RESULTS</w:t>
            </w:r>
          </w:p>
        </w:tc>
      </w:tr>
      <w:tr w:rsidR="00F27DFC" w:rsidTr="002279CA">
        <w:tc>
          <w:tcPr>
            <w:tcW w:w="2790"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Study selection</w:t>
            </w:r>
          </w:p>
        </w:tc>
        <w:tc>
          <w:tcPr>
            <w:tcW w:w="54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17</w:t>
            </w:r>
          </w:p>
        </w:tc>
        <w:tc>
          <w:tcPr>
            <w:tcW w:w="8875" w:type="dxa"/>
          </w:tcPr>
          <w:p w:rsidR="00C95E9D" w:rsidRPr="00C95E9D" w:rsidRDefault="00C95E9D" w:rsidP="00C95E9D">
            <w:pPr>
              <w:jc w:val="both"/>
              <w:rPr>
                <w:lang w:val="en-GB"/>
              </w:rPr>
            </w:pPr>
            <w:r w:rsidRPr="00C95E9D">
              <w:rPr>
                <w:lang w:val="en-GB"/>
              </w:rPr>
              <w:t xml:space="preserve">After removing duplicate entries, 3841 references were evaluated for inclusion based on title and/or abstract. Seventy six potentially relevant references were included in the next stage, where the publication was to be re-evaluated based on full text (figure 1). Full text was unavailable for 12 studies most of which were conference abstracts identified from ISI Web of Knowledge </w:t>
            </w:r>
            <w:r w:rsidR="00BB0325" w:rsidRPr="00C95E9D">
              <w:rPr>
                <w:lang w:val="en-GB"/>
              </w:rPr>
              <w:fldChar w:fldCharType="begin" w:fldLock="1"/>
            </w:r>
            <w:r w:rsidRPr="00C95E9D">
              <w:rPr>
                <w:lang w:val="en-GB"/>
              </w:rPr>
              <w:instrText xml:space="preserve">ADDIN Mendeley Citation{8f7902d4-5324-46b2-b361-5d072dc61dcc};{aeecc39e-d365-4a93-8e3d-99c631610858};{cf397c09-9d40-4083-beb8-fc2f1e8bca61};{cd810abd-84ab-48ff-8186-57a35acaccbf};{8d349eaf-575b-4587-9b77-889f8659dd29};{76ac3acd-1844-4706-9a8e-daf0e4bb9bc9};{f92bc8d1-4178-4f2c-9e38-8200f1a959a1};{a35f51a6-d4ed-4242-9a62-07de88bd78c8};{1385673f-d1da-4f9c-a433-1c48e92932d7};{8dd72c38-af5d-4007-a63e-932adaf1c01f};{9993cdb0-87e7-4102-8138-b822292f4aa8};{eb39704d-9e7f-4976-9e7e-4bae228a3cf5} CSL_CITATION  { "citationItems" : [ { "id" : "ITEM-1", "itemData" : { "abstract" : "Tumor necrosis factor (TNF) is a major proinflammatory cytokine in the rheumatoid joint. TNF activity can be neutralized by administration of a recombinant version of its soluble p75 TNF receptor linked to the Fc portion of human immunoglobulin IgG1 (etanercept). The present study examined the combination of etanercept with methotrexate (MTX) in a group of patients with rheumatoid arthritis (RA) who had persistent activity despite monotherapy with MTX. The etanercept-MTX group had a significantly better outcome than the placebo-MTX group using American College of Rheumatology (ACR) criteria. At 6 months, 71% of the patients in the etanercept-MTX group had an ACR 20% response (versus 27% in the placebo-MTX group). In the etanercept-MTX group, 39% had an ACR 50% response (versus 3% in the placebo-MTX group), and 15% in the etanercept-MTX group versus 0% in the placebo-MTX group met the robust ACR 70% response. The present study indicates that etanercept is a novel and robust drug in combination with MTX for the treatment of RA.", "author" : [ { "family" : "Bankhurst", "given" : "AD" } ], "container-title" : "Clinical and experimental rheumatology", "id" : "ITEM-1", "issue" : "6 Suppl 18", "issued" : { "date-parts" : [ [ "1999" ] ] }, "note" : "\u003cm:note\u003eTumor necrosis factor (TNF) is a major proinflammatory cytokine in the rheumatoid joint. TNF activity can be neutralized by administration of a recombinant version of its soluble p75 TNF receptor linked to the Fc portion of human immunoglobulin IgG1 (etanercept). The present study examined the combination of etanercept with methotrexate (MTX) in a group of patients with rheumatoid arthritis (RA) who had persistent activity despite monotherapy with MTX. The etanercept-MTX group had a significantly better outcome than the placebo-MTX group using American College of Rheumatology (ACR) criteria. At 6 months, 71% of the patients in the etanercept-MTX group had an ACR 20% response (versus 27% in the placebo-MTX group). In the etanercept-MTX group, 39% had an ACR 50% response (versus 3% in the placebo-MTX group), and 15% in the etanercept-MTX group versus 0% in the placebo-MTX group met the robust ACR 70% response. The present study indicates that etanercept is a novel and robust drug in combination with MTX for the treatment of RA.\u003c/m:note\u003e", "page" : "69-72", "publisher-place" : "Department of Internal Medicine, University of New Mexico School of Medicine, Albuquerque 87131-5271, USA. abankhurst@salud.unm.edu", "title" : "Etanercept and methotrexate combination therapy.", "type" : "article-journal", "volume" : "17" }, "uris" : [ "http://www.mendeley.com/documents/?uuid=8f7902d4-5324-46b2-b361-5d072dc61dcc" ] }, { "id" : "ITEM-2", "itemData" : { "abstract" : "Tumour necrosis factor alpha (TNF alpha) is a critical inflammatory mediator in rheumatoid arthritis, and may therefore be a useful target for specific immunotherapy. In support of this hypothesis, we previously observed beneficial responses in patients with active rheumatoid arthritis after open-label administration of a chimeric monoclonal antibody to TNF alpha (cA2). We now report the results of a four-centre, randomised double-blind trial of a single infusion of 1 or 10 mg/kg cA2 compared with placebo in 73 patients with active rheumatoid arthritis. The primary endpoint of the study was the achievement at week 4 of a Paulus 20% response, an amalgam of six clinical, observational, and laboratory variables. Intention-to-treat analysis of data from individual patients showed only 2 of 24 placebo recipients responding at this time, compared with 11 of 25 patients treated with low-dose cA2 (p = 0.0083) and 19 of 24 patients treated with high-dose cA2 (p \u003c 0.0001). Over half of the high-dose cA2 patients responded by the more stringent 50% Paulus criteria at this time (p = 0.0005). The magnitude of these responses was impressive, with maximum mean improvements in individual disease-activity assessments, such as tender or swollen-joint counts and in serum C-reactive protein, exceeding 60% for patients on high-dose treatment. There were two severe adverse events. 1 patient on 1 mg/kg cA2 developed pneumonia (\"possibly\" treatment-related) and 1 on 10 mg/kg had a fracture (\"probably not\" treatment-related). The results provide the first good evidence that specific cytokine blockade can be effective in human inflammatory disease and define a new direction for the treatment of rheumatoid arthritis.", "author" : [ { "family" : "Elliott", "given" : "M J" }, { "family" : "Maini", "given" : "R N" }, { "family" : "Feldmann", "given" : "M" }, { "family" : "Kalden", "given" : "J R" }, { "family" : "Antoni", "given" : "C" }, { "family" : "Smolen", "given" : "J S" }, { "family" : "Leeb", "given" : "B" }, { "family" : "Breedveld", "given" : "F C" }, { "family" : "Macfarlane", "given" : "J D" }, { "family" : "Bijl", "given" : "H" } ], "container-title" : "Lancet", "id" : "ITEM-2", "issue" : "8930", "issued" : { "date-parts" : [ [ "1994" ] ] }, "note" : "\u003cm:note\u003eTumour necrosis factor alpha (TNF alpha) is a critical inflammatory mediator in rheumatoid arthritis, and may therefore be a useful target for specific immunotherapy. In support of this hypothesis, we previously observed beneficial responses in patients with active rheumatoid arthritis after open-label administration of a chimeric monoclonal antibody to TNF alpha (cA2). We now report the results of a four-centre, randomised double-blind trial of a single infusion of 1 or 10 mg/kg cA2 compared with placebo in 73 patients with active rheumatoid arthritis. The primary endpoint of the study was the achievement at week 4 of a Paulus 20% response, an amalgam of six clinical, observational, and laboratory variables. Intention-to-treat analysis of data from individual patients showed only 2 of 24 placebo recipients responding at this time, compared with 11 of 25 patients treated with low-dose cA2 (p = 0.0083) and 19 of 24 patients treated with high-dose cA2 (p \u003c/m:note\u003e", "page" : "1105-1110", "publisher-place" : "Kennedy Institute of Rheumatology, Hammersmith, London, UK.", "title" : "Randomised double-blind comparison of chimeric monoclonal antibody to tumour necrosis factor alpha (cA2) versus placebo in rheumatoid arthritis.", "type" : "article-journal", "volume" : "344" }, "uris" : [ "http://www.mendeley.com/documents/?uuid=aeecc39e-d365-4a93-8e3d-99c631610858" ] }, { "id" : "ITEM-3", "itemData" : { "author" : [ { "family" : "Ericson", "given" : "M L" }, { "family" : "Wajdula", "given" : "J" }, { "family" : "European Etanercept Investigators", "given" : "" } ], "container-title" : "Arthritis and Rheumatism", "id" : "ITEM-3", "issued" : { "date-parts" : [ [ "1999" ] ] }, "note" : "\u003cm:note\u003ePT: J; SU: Suppl. S\u003c/m:note\u003e", "page" : "82", "title" : "A double-blind, placebo-controlled study of the efficacy and safety of four different doses of etanercept in patients with rheumatoid arthritis.", "type" : "article-journal", "volume" : "42 Suppl 5" }, "uris" : [ "http://www.mendeley.com/documents/?uuid=cf397c09-9d40-4083-beb8-fc2f1e8bca61" ] }, { "id" : "ITEM-4", "itemData" : { "author" : [ { "family" : "Fleischmann", "given" : "R M" }, { "family" : "Emery", "given" : "P" }, { "family" : "Moreland", "given" : "L W" }, { "family" : "Hsia", "given" : "E C" }, { "family" : "Strusberg", "given" : "I" }, { "family" : "Durez", "given" : "P" }, { "family" : "Nasi", "given" : "P" }, { "family" : "Amante", "given" : "E" }, { "family" : "Churchill", "given" : "M" }, { "family" : "Park", "given" : "W" }, { "family" : "Pons-Estel", "given" : "B" }, { "family" : "Xu", "given" : "W" }, { "family" : "Rahman", "given" : "M U" } ], "container-title" : "Arthritis and Rheumatism", "id" : "ITEM-4", "issue" : "9", "issued" : { "date-parts" : [ [ "2008" ] ] }, "note" : "\u003cm:note\u003ePT: J; SU: Suppl. S\u003c/m:note\u003e", "page" : "530", "title" : "Golimumab, a new human Anti-TNF-alpha monoclonal antibody, administered subcutaneously everv 4 weeks in methotrexate-naive patients with active rheumatoid arthritis: A randomized, double-blind, placebo-controlled, GO-BEFORE study", "type" : "article-journal", "volume" : "58" }, "uris" : [ "http://www.mendeley.com/documents/?uuid=cd810abd-84ab-48ff-8186-57a35acaccbf" ] }, { "id" : "ITEM-5", "itemData" : { "ISBN" : "1673-4254", "abstract" : "OBJECTIVE: To evaluate the clinical efficacy of infliximab in the treatment of moderate and severe active rheumatoid arthritis (RA)., METHODS: This randomized double-blind II/III clinical trial involved 30 patients with moderate and severe active RA, who were randomly allocated into 3 groups (groups A, B, and C) at the ratio of 3:1:1. At weeks 0, 2, 6, and 14, the patients in groups A and C received infliximab or placebo, and those in group B had placebo at week 14 with a stable background dose of methotrexate. The indicators for efficacy evaluation included the proportions of ACR20/50/70 of the responders and DAS28. The sharp scores of the hand joints were recorded before and after the treatment., RESULTS: Twenty-nine patients completed the clinical trial (18 in group A, 5 in group B, and 6 in group C). At week 14, the proportions of ACR20/50/70 in the 3 groups reached 83.33%, 60%, and 33.33%, respectively (P\u003c0.05), as compared to 100%, 100%, and 33.33% at week 18 (P\u003c0.05). The other indicators for clinical efficacy evaluation also suggested similar clinical improvement of the patients (P=0.000). The proportions of the patients with DAS28\u003c3.2 and DAS28\u003c2.6 were significantly different. Compared to the baseline, the Sharp scores in group A showed no significant changes at week 18 (P\u003e0.930), while those in group C exhibited significant radiographic progression (P\u003c0.044)., CONCLUSION: Infliximab produces good short-term therapeutic effect against moderate and severe active RA and may help arrest the radiographic progression of the diseases, which can be more obvious in patients with moderate severity.", "author" : [ { "family" : "Gao", "given" : "Guo-hua" }, { "family" : "Li", "given" : "Juan" }, { "family" : "Xie", "given" : "Hong-wei" }, { "family" : "Lu", "given" : "Zhuo" } ], "container-title" : "Nan fang yi ke da xue xue bao = Journal of Southern Medical University", "id" : "ITEM-5", "issue" : "4", "issued" : { "date-parts" : [ [ "2010" ] ] }, "note" : "\u003cm:note/\u003e", "page" : "724-726", "publisher" : "Department of Traditional Chinese Medicine for Rheumatology, Nanfang Hospital, Guangzhou 510515, China. airenaiji924@163.com", "publisher-place" : "China", "title" : "[Therapeutic effect of infliximab on moderate and severe active rheumatoid arthritis].", "type" : "article", "volume" : "30" }, "uris" : [ "http://www.mendeley.com/documents/?uuid=8d349eaf-575b-4587-9b77-889f8659dd29" ] }, { "id" : "ITEM-6", "itemData" : { "abstract" : "OBJECTIVE: To investigate the efficacy and safety of adalimumab plus methotrexate (MTX) for the treatment of rheumatoid arthritis (RA). METHODS: This is a multi-center, randomized, double-blind, parallel-group, and placebo-controlled clinical study, included a total of 302 cases of active rheumatoid arthritis, randomized into three groups of observation: 40 mg adalimumab (121 cases), 80 mg adalimumab (121 cases), or placebo (60 cases). Upon enrollment, all subjects had been previously treated with MTX for at least 3 months, and their doses of drug had remained stable for at least 28 days. The double-blind phase lasted for 12 weeks, during which the subjects were administered with adalimumab or placebo subcutaneously every other week. Then the subjects entered into another 12 weeks of open-label study, which included subcutaneous injection of 40 mg adalimumab every other week. In both the double-blind and the open-label periods, all subjects were maintained concomitantly with MTX that had already been used before this study. The primary efficacy variables were evaluated on basis of American College of Rheumatology (ACR)20 response rate at week 12. The secondary efficacy variables included: ACR20 response rate at week 24; ACR50 and ACR70 response rates at weeks 12 and 24; and changes at weeks 12 and 24 compared with baseline observations for tender and swollen joint counts, as well as the assessment of pain with visual analog scale (VAS), the physician's and the patient's global assessment of disease activity (VAS), and the analysis on health assessment questionnaire (HAQ) and health related quality of life (HRQL) measured by Short Form-36 (SF-36); The safety variables mainly included adverse events (AE). RESULT: During the double-blind period, subjects treated with 40 mg of adalimumab, 57.0% achieved ACR20 response at week 12 (P = 0.004 versus placebo), and subjects treated with 80 mg of adalimumab, 51.2% achieved ACR20 response at week 12 (P = 0.026 versus placebo), and only 35.0% of subjects treated with placebo achieved ACR20 response at week 12. On the other hand, 32.2% of subjects receiving 40 mg of adalimumab achieved ACR50 response (P = 0.009 versus placebo), and 15.7% achieved ACR70 response (P = 0.007 versus placebo) at week 12. Subjects treated with 40 mg of adalimumab got a better result versus placebo at week 12 for tender joint count, swollen joint count, and improvement in C-reactive protein; and subjects treated with 80 mg of adalimumab we\u2026", "author" : [ { "family" : "Huang", "given" : "F" }, { "family" : "Zhang", "given" : "F C" }, { "family" : "Bao", "given" : "C D" }, { "family" : "Tao", "given" : "Y" }, { "family" : "Gu", "given" : "J R" }, { "family" : "Xu", "given" : "J H" }, { "family" : "Zhu", "given" : "P" }, { "family" : "Xu", "given" : "H J" }, { "family" : "Zhang", "given" : "Z Y" }, { "family" : "Zhao", "given" : "D B" }, { "family" : "Wu", "given" : "D H" } ], "container-title" : "Chung-Hua Nei Ko Tsa Chih Chinese Journal of Internal Medicine", "id" : "ITEM-6", "issue" : "11", "issued" : { "date-parts" : [ [ "2009" ] ] }, "note" : "\u003cm:note\u003eOBJECTIVE: To investigate the efficacy and safety of adalimumab plus methotrexate (MTX) for the treatment of rheumatoid arthritis (RA). METHODS: This is a multi-center, randomized, double-blind, parallel-group, and placebo-controlled clinical study, included a total of 302 cases of active rheumatoid arthritis, randomized into three groups of observation: 40 mg adalimumab (121 cases), 80 mg adalimumab (121 cases), or placebo (60 cases). Upon enrollment, all subjects had been previously treated with MTX for at least 3 months, and their doses of drug had remained stable for at least 28 days. The double-blind phase lasted for 12 weeks, during which the subjects were administered with adalimumab or placebo subcutaneously every other week. Then the subjects entered into another 12 weeks of open-label study, which included subcutaneous injection of 40 mg adalimumab every other week. In both the double-blind and the open-label periods, all subjects were maintained concomitantly with MTX that had already been used before this study. The primary efficacy variables were evaluated on basis of American College of Rheumatology (ACR)20 response rate at week 12. The secondary efficacy variables included: ACR20 response rate at week 24; ACR50 and ACR70 response rates at weeks 12 and 24; and changes at weeks 12 and 24 compared with baseline observations for tender and swollen joint counts, as well as the assessment of pain with visual analog scale (VAS), the physician's and the patient's global assessment of disease activity (VAS), and the analysis on health assessment questionnaire (HAQ) and health related quality of life (HRQL) measured by Short Form-36 (SF-36); The safety variables mainly included adverse events (AE). RESULT: During the double-blind period, subjects treated with 40 mg of adalimumab, 57.0% achieved ACR20 response at week 12 (P = 0.004 versus placebo), and subjects treated with 80 mg of adalimumab, 51.2% achieved ACR20 response at week 12 (P = 0.026 versus placebo), and only 35.0% of subjects treated with placebo achieved ACR20 response at week 12. On the other hand, 32.2% of subjects receiving 40 mg of adalimumab achieved ACR50 response (P = 0.009 versus placebo), and 15.7% achieved ACR70 response (P = 0.007 versus placebo) at week 12. Subjects treated with 40 mg of adalimumab got a better result versus placebo at week 12 for tender joint count, swollen joint count, and improvement in C-reactive protein; and subjects treated with 80 mg of adali\u2026", "page" : "916-921", "publisher-place" : "Department of Rheumatology, Chinese PLA General Hospital, Beijing 100853, China. Email: fhuang@301hospital.com.cn.", "title" : "[Adalimumab plus methotrexate for the treatment of rheumatoid arthritis: a multi-center randomized, double-blind, placebo-controlled clinical study.]", "type" : "article-journal", "volume" : "48" }, "uris" : [ "http://www.mendeley.com/documents/?uuid=76ac3acd-1844-4706-9a8e-daf0e4bb9bc9" ] }, { "id" : "ITEM-7", "itemData" : { "author" : [ { "family" : "Kavanaugh", "given" : "A F" }, { "family" : "Cush", "given" : "J J" }, { "family" : "StClair", "given" : "E W" }, { "family" : "McCune", "given" : "W J" }, { "family" : "Braakman", "given" : "T A J" }, { "family" : "Nichols", "given" : "L A" }, { "family" : "Linsky", "given" : "P E" } ], "container-title" : "Arthritis and Rheumatism", "id" : "ITEM-7", "issue" : "9", "issued" : { "date-parts" : [ [ "1996" ] ] }, "note" : "\u003cm:note\u003ePT: J; SU: Suppl. S\u003c/m:note\u003e", "page" : "575", "title" : "Anti-TNF-alpha monoclonal antibody (mAb) treatment of rheumatoid arthritis (RA) patients with active disease on methotrexate (MTX): Results of a double-blind, placebo controlled multicenter trial.", "type" : "article-journal", "volume" : "39" }, "uris" : [ "http://www.mendeley.com/documents/?uuid=f92bc8d1-4178-4f2c-9e38-8200f1a959a1" ] }, { "id" : "ITEM-8", "itemData" : { "ISBN" : "0315-162X", "abstract" : "OBJECTIVE: To evaluate the safety and efficacy of single and multiple doses of a chimeric anti-TNF-alpha monoclonal antibody (infliximab) in patients with rheumatoid arthritis (RA) who had active disease despite therapy with methotrexate (MTX)., METHODS: Twenty-eight patients with active RA despite receiving therapy with 10 mg/week of MTX were randomized to receive a single, blinded infusion of either placebo or 5, 10, or 20 mg/kg infliximab. Twenty-three patients who completed the blinded study entered an open, multiple dose extension study in which they received up to 3 additional infusions of 10 mg/kg infliximab at Weeks 12, 20, and 28. Safety, efficacy, and pharmacokinetics were evaluated during the blinded and open trial., RESULTS: There were no serious infusion related reactions. In the blinded phase, 17 (81.0%) of 21 patients receiving infliximab achieved an American College of Rheumatology (ACR) 20% response at some point during the 12 weeks of followup compared to one (14.3%) of 7 patients receiving placebo (p = 0.003). Clinical improvement was evident by the first week and was sustained through Week 12. For the 19 patients who received infliximab during the blinded part of the trial and continued into the open label trial, 53% maintained an ACR 20% response with multiple infusions of 10 mg/kg infliximab through Week 40. Three patients withdrew from the trial during the open continuation phase because of adverse events: cellulitis, infusion related dizziness and headache, and vasculitic rash. Infliximab in doses of 5 to 20 mg/kg had a mean terminal half-life ranging from 9 to 12 days and was detectable in sera from most patients 8 to 12 weeks after dosing., CONCLUSION: Infliximab is generally well tolerated during 40 weeks of therapy. A single infusion of 5 to 20 mg/kg infliximab significantly decreases the signs and symptoms of RA compared to placebo in patients with active disease receiving MTX. Multiple doses of infliximab produce sustained clinical benefit for up to 40 weeks.", "author" : [ { "family" : "Kavanaugh", "given" : "A" }, { "family" : "St Clair", "given" : "E W" }, { "family" : "McCune", "given" : "W J" }, { "family" : "Braakman", "given" : "T" }, { "family" : "Lipsky", "given" : "P" } ], "container-title" : "The Journal of rheumatology", "id" : "ITEM-8", "issue" : "4", "issued" : { "date-parts" : [ [ "2000" ] ] }, "note" : "\u003cm:note/\u003e", "page" : "841-850", "publisher" : "University of Texas, Southwestern Medical Center, Dallas, USA.", "publisher-place" : "CANADA", "title" : "Chimeric anti-tumor necrosis factor-alpha monoclonal antibody treatment of patients with rheumatoid arthritis receiving methotrexate therapy.", "type" : "article", "volume" : "27" }, "uris" : [ "http://www.mendeley.com/documents/?uuid=a35f51a6-d4ed-4242-9a62-07de88bd78c8" ] }, { "id" : "ITEM-9", "itemData" : { "author" : [ { "family" : "Kay", "given" : "J" }, { "family" : "Matteson", "given" : "E L" }, { "family" : "Dasgupta", "given" : "B" }, { "family" : "Nash", "given" : "P" }, { "family" : "Durez", "given" : "P" }, { "family" : "Hall", "given" : "S" }, { "family" : "Hsia", "given" : "E C" }, { "family" : "Chiruvolu", "given" : "P" }, { "family" : "Han", "given" : "J" }, { "family" : "Rahman", "given" : "M U" } ], "container-title" : "Annals of the Rheumatic Diseases", "id" : "ITEM-9", "issued" : { "date-parts" : [ [ "2007" ] ] }, "note" : "\u003cm:note\u003ePT: J; SU: Suppl. 2\u003c/m:note\u003e", "page" : "175-176", "title" : "Improvement in DAS28 response through one-year of golimumab treatment in patients with active RA despite treatment with methotrexate: A phase II, randomized, double blind, placebo controlled, dose ranging trial", "type" : "article-journal", "volume" : "66" }, "uris" : [ "http://www.mendeley.com/documents/?uuid=1385673f-d1da-4f9c-a433-1c48e92932d7" ] }, { "id" : "ITEM-10", "itemData" : { "author" : [ { "family" : "Kay", "given" : "J" }, { "family" : "Matteson", "given" : "E L" }, { "family" : "Dasgupta", "given" : "B" }, { "family" : "Nash", "given" : "P" }, { "family" : "Durezs", "given" : "P" }, { "family" : "Hall", "given" : "S" }, { "family" : "Han", "given" : "J" }, { "family" : "Rahman", "given" : "M U" } ], "container-title" : "Annals of the Rheumatic Diseases", "id" : "ITEM-10", "issued" : { "date-parts" : [ [ "2006" ] ] }, "note" : "\u003cm:note\u003ePT: J; SU: Suppl. 2\u003c/m:note\u003e", "page" : "323", "title" : "Das28 responses in patients with active rheumatoid arthritis who received golimumab and methotrexate: A randomized, double-blind, placebo-controlled phase 2 trial", "type" : "article-journal", "volume" : "65" }, "uris" : [ "http://www.mendeley.com/documents/?uuid=8dd72c38-af5d-4007-a63e-932adaf1c01f" ] }, { "id" : "ITEM-11", "itemData" : { "author" : [ { "family" : "Keystone", "given" : "E" }, { "family" : "Weinblatt", "given" : "M" }, { "family" : "Furst", "given" : "D" }, { "family" : "Weisman", "given" : "M" }, { "family" : "Moreland", "given" : "L" }, { "family" : "Birbara", "given" : "C" }, { "family" : "Fischkoff", "given" : "S" }, { "family" : "Chartash", "given" : "E" } ], "container-title" : "Arthritis and Rheumatism", "id" : "ITEM-11", "issue" : "9", "issued" : { "date-parts" : [ [ "2001" ] ] }, "note" : "\u003cm:note\u003ePT: J; SU: Suppl. S\u003c/m:note\u003e", "page" : "965", "title" : "The ARMADA trial: A double-blind placebo controlled trial of the fully human anti-TNF monoclonal antibody, adalimumab (D2E7), in patients with active RA on methotrexate (MTX).", "type" : "article-journal", "volume" : "44" }, "uris" : [ "http://www.mendeley.com/documents/?uuid=9993cdb0-87e7-4102-8138-b822292f4aa8" ] }, { "id" : "ITEM-12", "itemData" : { "ISBN" : "0376-2491", "abstract" : "OBJECTIVE: To investigate the efficacy and safety of Infliximab (IFX) plus methotrexate (MTX) combination therapy in patients with rheumatoid arthritis (RA)., METHODS: Prospectively observe refractory RA patients who were treated with combination therapy of MTX and IFX. IFX was infused at the dosage of 3 mg/kg, in week 0, 2, 6, and then every 8 weeks. During treatment, clinical variables, disease activity and adverse effects were evaluated., RESULTS: After treatment, 69.8%, 52.4%, 29.5% and 7.2% RA patients achieved ACR20, ACR50, ACR70 and ACR90 respectively. There were significant statistical differences in the changes of swollen joint counts, tender joint counts, VAS scale, patient' s global assessment, and physician's global assessment before and after therapy., CONCLUSION: Infliximab plus MTX achieved significant efficacy and safety in refractory RA patients.", "author" : [ { "family" : "Zhang", "given" : "Wen" }, { "family" : "Shi", "given" : "Qun" }, { "family" : "Wu", "given" : "Dong-hai" }, { "family" : "Bao", "given" : "Chun-de" }, { "family" : "Yang", "given" : "Nan-ping" }, { "family" : "Li", "given" : "Zhan-guo" }, { "family" : "Zhu", "given" : "Ping" }, { "family" : "Zhang", "given" : "Xiao" }, { "family" : "Huang", "given" : "Ci-bo" }, { "family" : "He", "given" : "Dong-yi" }, { "family" : "Ye", "given" : "Zhi-zhong" }, { "family" : "Tao", "given" : "Yi" }, { "family" : "Fang", "given" : "Yong-fei" }, { "family" : "Gu", "given" : "Jie-ruo" }, { "family" : "Wu", "given" : "Hua-xiang" }, { "family" : "Sun", "given" : "Ling-yun" }, { "family" : "Yang", "given" : "Xiu-yan" }, { "family" : "Huang", "given" : "Feng" }, { "family" : "Xu", "given" : "Hu-ji" }, { "family" : "Zhao", "given" : "Dong-bao" }, { "family" : "Zhang", "given" : "Miao-jia" }, { "family" : "Zheng", "given" : "Yi" }, { "family" : "Ai", "given" : "Mai-xing" }, { "family" : "Lu", "given" : "Jun" }, { "family" : "Zhang", "given" : "Feng-chun" } ], "container-title" : "Zhonghua yi xue za zhi", "id" : "ITEM-12", "issue" : "27", "issued" : { "date-parts" : [ [ "2009" ] ] }, "note" : "\u003cm:note/\u003e", "page" : "1876-1880", "publisher" : "Department of Rheumatology and Immunology, Peking Union Medical College Hospital, Peking Union Medical College and Chinese Academy of Medical Sciences, Beijing 100730, China. zhangsamfc@hotmail.com", "publisher-place" : "China", "title" : "[Efficacy and safety of infliximab in patients with rheumatoid arthritis].", "type" : "article", "volume" : "89" }, "uris" : [ "http://www.mendeley.com/documents/?uuid=eb39704d-9e7f-4976-9e7e-4bae228a3cf5" ] } ], "mendeley" : { "previouslyFormattedCitation" : "[18\u201329]" }, "properties" : { "noteIndex" : 0 }, "schema" : "https://github.com/citation-style-language/schema/raw/master/csl-citation.json" } </w:instrText>
            </w:r>
            <w:r w:rsidR="00BB0325" w:rsidRPr="00C95E9D">
              <w:rPr>
                <w:lang w:val="en-GB"/>
              </w:rPr>
              <w:fldChar w:fldCharType="separate"/>
            </w:r>
            <w:r w:rsidRPr="00C95E9D">
              <w:rPr>
                <w:lang w:val="en-GB"/>
              </w:rPr>
              <w:t>[18–29]</w:t>
            </w:r>
            <w:r w:rsidR="00BB0325" w:rsidRPr="00C95E9D">
              <w:rPr>
                <w:lang w:val="en-GB"/>
              </w:rPr>
              <w:fldChar w:fldCharType="end"/>
            </w:r>
            <w:r w:rsidRPr="00C95E9D">
              <w:rPr>
                <w:lang w:val="en-GB"/>
              </w:rPr>
              <w:t xml:space="preserve">. Patients, interventions, controls, outcomes or design of the studies did not meet the inclusion criteria of the systematic review in 17 publications </w:t>
            </w:r>
            <w:r w:rsidR="00BB0325" w:rsidRPr="00C95E9D">
              <w:rPr>
                <w:lang w:val="en-GB"/>
              </w:rPr>
              <w:fldChar w:fldCharType="begin" w:fldLock="1"/>
            </w:r>
            <w:r w:rsidRPr="00C95E9D">
              <w:rPr>
                <w:lang w:val="en-GB"/>
              </w:rPr>
              <w:instrText xml:space="preserve">ADDIN Mendeley Citation{52f9724f-8435-4c02-8b72-b88228d73920};{5999718d-d276-40ad-8149-853e3db08b77};{7f43a4ac-3bc3-47a5-a5b3-367f932f12f3};{15854ddc-989f-468d-9203-dbea8bb23031};{94e5a455-3615-40dd-9aa9-e23292aae9b5};{261572b3-bba8-45c8-8527-b49c7481ca32};{d08f6237-06a4-41e7-8c59-1675e1512264};{8b9a71ba-98d6-4120-ae5f-493c960542c0};{a96c423a-db09-4191-97a1-87a82a235ac3};{378f1f0e-65a4-4711-8a67-ee323c2aa416};{3682ac0b-6366-4044-afd7-a633fec56d39};{fc32c909-6639-4681-9ec5-335e9a5d2827};{7725b553-63d1-43c0-babd-108d5fd79230};{e7ba1051-e1eb-4d61-a309-a4c4d4e2a7ea};{37c3d60d-8475-4e0b-bf5c-6fb18fa02528};{858749cc-a1fa-42bd-9ac6-fe956f3ffdc0};{f36bfed7-91f1-4823-98ec-e3b310d6d3db} CSL_CITATION  { "citationItems" : [ { "id" : "ITEM-1", "itemData" : { "author" : [ { "family" : "Allaart", "given" : "C F" }, { "family" : "Goekoop-Ruiterman", "given" : "Y P" }, { "family" : "de Vries-Bouwstra", "given" : "J K" }, { "family" : "Breedveld", "given" : "F C" }, { "family" : "Dijkmans", "given" : "B A" }, { "family" : "FARR study", "given" : "Group" } ], "container-title" : "Clinical \u0026 Experimental Rheumatology", "id" : "ITEM-1", "issue" : "6 Suppl 43", "issued" : { "date-parts" : [ [ "2006" ] ] }, "note" : "\u003cm:note\u003eAIM: To evaluate the efficacy and safety of four different treatment strategies for patients with early rheumatoid arthritis (RA).METHODS:In the BeSt study, 508 patients with newly diagnosed (\u003c/m:note\u003e", "page" : "77-82", "publisher-place" : "Department of Rheumatology, Leiden University Medical Center, RC Leiden, The Netherlands. C.F.Allaart@lumc.nl", "title" : "Aiming at low disease activity in rheumatoid arthritis with initial combination therapy or initial monotherapy strategies: the BeSt study.", "type" : "article-journal", "volume" : "24" }, "uris" : [ "http://www.mendeley.com/documents/?uuid=52f9724f-8435-4c02-8b72-b88228d73920" ] }, { "id" : "ITEM-2", "itemData" : { "abstract" : "Infliximab, a chimeric anti-TNF alpha antibody, showed in two double-blind placebo-controlled trials efficacy in combination with methotrexate (MTX) in patients with severe rheumatoid arthritis (RA). Whereas in the first trial low-dose MTX or placebo was compared to infliximab alone and in combination, the second trial compared infliximab to placebo in patients with active RA despite maximal tolerated MTX treatment. Infliximab showed synergistic effects in combination with MTX. The immunogenicity of infliximab was reduced by the combination. Infliximab in combination with high-dose MTX is effective and safe in long-term treatment up to 54 weeks.", "author" : [ { "family" : "Antoni", "given" : "C" }, { "family" : "Kalden", "given" : "J R" } ], "container-title" : "Clinical \u0026 Experimental Rheumatology", "id" : "ITEM-2", "issue" : "6 Suppl 18", "issued" : { "date-parts" : [ [ "1999" ] ] }, "note" : "\u003cm:note\u003e        \u003cm:bold\u003eFrom Duplicate 1 ( \u003c/m:bold\u003e        \u003cm:bold\u003e          \u003c/m:bold\u003e\u003cm:bold\u003e\u003cm:italic\u003eCombination therapy of the chimeric monoclonal anti-tumor necrosis factor alpha antibody (infliximab) with methotrexate in patients with rheumatoid arthritis.\u003c/m:italic\u003e\u003c/m:bold\u003e\u003cm:bold\u003e        \u003c/m:bold\u003e        \u003cm:bold\u003e - Antoni, C; Kalden, J R )\u003cm:linebreak/\u003e        \u003c/m:bold\u003e        \u003cm:linebreak/\u003e        \u003cm:linebreak/\u003e        \u003cm:linebreak/\u003e        \u003cm:bold\u003eFrom Duplicate 2 ( \u003c/m:bold\u003e        \u003cm:bold\u003e          \u003c/m:bold\u003e\u003cm:bold\u003e\u003cm:italic\u003eCombination therapy of the chimeric monoclonal anti-tumor necrosis factor alpha antibody (infliximab) with methotrexate in patients with rheumatoid arthritis.\u003c/m:italic\u003e\u003c/m:bold\u003e\u003cm:bold\u003e        \u003c/m:bold\u003e        \u003cm:bold\u003e - Antoni, C; Kalden, J R )\u003cm:linebreak/\u003e        \u003c/m:bold\u003e        \u003cm:linebreak/\u003eInfliximab, a chimeric anti-TNF alpha antibody, showed in two double-blind placebo-controlled trials efficacy in combination with methotrexate (MTX) in patients with severe rheumatoid arthritis (RA). Whereas in the first trial low-dose MTX or placebo was compared to infliximab alone and in combination, the second trial compared infliximab to placebo in patients with active RA despite maximal tolerated MTX treatment. Infliximab showed synergistic effects in combination with MTX. The immunogenicity of infliximab was reduced by the combination. Infliximab in combination with high-dose MTX is effective and safe in long-term treatment up to 54 weeks.\u003cm:linebreak/\u003e        \u003cm:linebreak/\u003e      \u003c/m:note\u003e", "page" : "73-7", "publisher-place" : "Department of Medicine III, University of Erlangen-Nurnberg, Germany.", "title" : "Combination therapy of the chimeric monoclonal anti-tumor necrosis factor alpha antibody (infliximab) with methotrexate in patients with rheumatoid arthritis.", "type" : "article-journal", "volume" : "17" }, "uris" : [ "http://www.mendeley.com/documents/?uuid=5999718d-d276-40ad-8149-853e3db08b77" ] }, { "id" : "ITEM-3", "itemData" : { "author" : [ { "family" : "Durez", "given" : "P" }, { "family" : "Malghem", "given" : "J" }, { "family" : "Nzeusseu Toukap", "given" : "A" }, { "family" : "Depresseux", "given" : "G" }, { "family" : "Lauwerys", "given" : "B R" }, { "family" : "Westhovens", "given" : "R" }, { "family" : "Luyten", "given" : "F P" }, { "family" : "Corluy", "given" : "L" }, { "family" : "Houssiau", "given" : "F A" }, { "family" : "Verschueren", "given" : "P" } ], "container-title" : "Arthritis \u0026 Rheumatism", "id" : "ITEM-3", "issue" : "12", "issued" : { "date-parts" : [ [ "2007" ] ] }, "note" : "\u003cm:note\u003eOBJECTIVE: To compare the effects of methotrexate (MTX), alone or in combination with intravenous (IV) methylprednisolone (MP) or infliximab, on magnetic resonance imaging (MRI)-detected synovitis, bone edema, and erosive changes in patients with early rheumatoid arthritis (RA). METHODS: Forty-four patients with early RA were randomized to receive MTX alone (MTX group), MTX plus IV MP (IV MP group), or MTX plus infliximab (infliximab group), infused on day 0 and weeks 2, 6, 14, 22, 30, 38, and 46. Gadolinium-enhanced MRI scans of the metacarpophalangeal joints, wrists, and metatarsophalangeal joints were performed at baseline, week 18, and week 52. RESULTS: Scores for MRI-detected synovitis and bone edema improved over time in the 3 groups, with significantly lower synovitis scores in the infliximab group compared with the MTX group and significantly lower bone edema scores in the infliximab group compared with the MTX and the IV MP groups. Scores for MRI-detected erosion significantly increased over time in all groups. There were no differences in erosion scores between the MTX group and the other groups. It is of note that patients treated with IV MP showed more significant progression in MRI-detected erosions compared with patients treated with infliximab. At week 22, response rates according to the American College of Rheumatology 20% improvement criteria (ACR20), the ACR50, and the ACR70 were significantly higher in both the IV MP group and the infliximab group compared with the MTX group. At week 52, remission was achieved in 40% of patients in the MTX group and in 70% of patients in the IV MP and infliximab groups. Health Assessment Questionnaire scores improved significantly over time in all groups, with patients receiving IV MP experiencing significantly more improvement compared with patients treated with MTX alone. No severe side effects were observed, except 1 case of MTX-related pneumonitis. CONCLUSION: The combination of MTX and infliximab is superior to MTX alone for reducing MRI-detected signs of synovitis and bone edema in patients with early RA. Progression of MRI-detected erosion was greater in patients treated with MTX plus IV MP compared with that in patients who received MTX plus infliximab.\u003c/m:note\u003e", "page" : "3919-3927", "publisher-place" : "Cliniques Universitaires Saint-Luc, Universite Catholique de Louvain, Avenue Hippocrate 10, Brussels, Belgium. patrick.durez@ruma.ucl.ac.be", "title" : "Treatment of early rheumatoid arthritis: a randomized magnetic resonance imaging study comparing the effects of methotrexate alone, methotrexate in combination with infliximab, and methotrexate in combination with intravenous pulse methylprednisolone.", "type" : "article-journal", "volume" : "56" }, "uris" : [ "http://www.mendeley.com/documents/?uuid=7f43a4ac-3bc3-47a5-a5b3-367f932f12f3" ] }, { "id" : "ITEM-4", "itemData" : { "author" : [ { "family" : "Durez", "given" : "P" }, { "family" : "Nzeusseu Toukap", "given" : "A" }, { "family" : "Lauwerys", "given" : "B R" }, { "family" : "Manicourt", "given" : "D H" }, { "family" : "Verschueren", "given" : "P" }, { "family" : "Westhovens", "given" : "R" }, { "family" : "Devogelaer", "given" : "J P" }, { "family" : "Houssiau", "given" : "F A" } ], "container-title" : "Annals of the Rheumatic Diseases", "id" : "ITEM-4", "issue" : "9", "issued" : { "date-parts" : [ [ "2004" ] ] }, "note" : "\u003cm:note\u003eOBJECTIVES: To compare the short term clinical and biological effects of intravenous (i.v.) pulse methylprednisolone (MP) and infliximab (IFX) in patients with severe active rheumatoid arthritis (RA) despite methotrexate (MTX) treatment. METHODS: Patients with active RA despite MTX treatment were randomly allocated to receive a single i.v. infusion of MP (1 g) or three i.v. infusions of IFX (3 mg/kg) on weeks 0, 2, and 6. Patients were \u0026quot;blindly\u0026quot; evaluated for disease activity measures. Quality of life (QoL) was evaluated through the SF-36 health survey. Serum matrix metalloproteinase-3 (MMP-3) titres were measured at baseline, weeks 2 and 6. RESULTS: Compared with baseline, significant improvement was noted in all activity measures, including serum C reactive protein (CRP) titres, in the IFX group only. At week 14, 6/9 (67%) and 4/9 (44%) IFX patients met the ACR20 and 50 response criteria, while this was the case in only 1/12 (8%) and 0/12 (0%) MP patients, respectively (p\u003c/m:note\u003e", "page" : "1069-1074", "publisher-place" : "Rheumatology Department, Cliniques Universitaires Saint-Luc, Universite catholique de Louvain, Bruxelles, Belgium.", "title" : "A randomised comparative study of the short term clinical and biological effects of intravenous pulse methylprednisolone and infliximab in patients with active rheumatoid arthritis despite methotrexate treatment.", "type" : "article-journal", "volume" : "63" }, "uris" : [ "http://www.mendeley.com/documents/?uuid=15854ddc-989f-468d-9203-dbea8bb23031" ] }, { "id" : "ITEM-5", "itemData" : { "author" : [ { "family" : "Furst", "given" : "D E" }, { "family" : "Schiff", "given" : "M H" }, { "family" : "Fleischmann", "given" : "R M" }, { "family" : "Strand", "given" : "V" }, { "family" : "Birbara", "given" : "C A" }, { "family" : "Compagnone", "given" : "D" }, { "family" : "Fischkoff", "given" : "S A" }, { "family" : "Chartash", "given" : "E K" } ], "container-title" : "Journal of Rheumatology", "id" : "ITEM-5", "issue" : "12", "issued" : { "date-parts" : [ [ "2003" ] ] }, "note" : "\u003cm:note\u003eOBJECTIVE: This study, known as STAR (Safety Trial of Adalimumab in Rheumatoid Arthritis), evaluated the safety and efficacy of adalimumab (Humira), a fully human monoclonal tumor necrosis factor-alpha (TNF-a) antibody, when given with standard antirheumatic therapy in patients with active rheumatoid arthritis (RA) not adequately responding to such therapies. Standard antirheumatic therapy included traditional disease modifying antirheumatic drugs (DMARD), low dose corticosteroids, nonsteroidal antiinflammatory drugs (NSAID), and/or analgesics. METHODS: In this 24-week, double-blind, placebo-controlled study, 636 patients with RA were randomly assigned to receive adalimumab 40 mg subcutaneously (sc) every other week (n = 318) or placebo (n = 318) while continuing standard antirheumatic therapy. The frequencies of adverse events, serious adverse events, severe or life-threatening adverse events, adverse events leading to withdrawal, infection, or serious infection were the primary endpoints. Secondary endpoints were determined by American College of Rheumatology (ACR) response criteria. RESULTS: During the study, the majority of patients received concomitant traditional DMARD (83.5%) and/or corticosteroids, NSAID, and/or analgesics (97.3%). Overall, 56.0% of patients continued treatment with one, 23.6% with 2, and 3.9% with \u0026gt; or = 3 traditional DMARD. At 24 weeks, there were no statistically significant differences between the adalimumab and placebo groups in their respective rates of adverse events (86.5% vs 82.7%), serious adverse events (5.3% vs 6.9%), severe or life-threatening adverse events (11.9% vs 15.4%), or those leading to withdrawal (2.8% vs 2.2%). There were also no statistically significant differences in the rates of infections (52.2% vs 49.4%) or serious infections (1.3% vs 1.9%) between the groups. The incidence and types of adverse events did not vary between adalimumab- and placebo-treated patients by the number of concomitant traditional DMARD (0, 1, or 2). Adalimumab-treated patients compared with placebo-treated patients achieved statistically superior ACR20 (52.8% vs 34.9%), ACR50 (28.9% vs 11.3%), and ACR70 (14.8% vs 3.5%) response rates at Week 24 (p \u003c/m:note\u003e", "page" : "2563-2571", "publisher-place" : "Division of Rheumatology, Department of Medicine, University of California-Los Angeles, 32-59 Rehabilitation Center, 1000 Veteran Avenue, Box 951670, Los Angeles, CA 90095-1670, USA. defurst@mednet.ucla.edu", "title" : "Adalimumab, a fully human anti tumor necrosis factor-alpha monoclonal antibody, and concomitant standard antirheumatic therapy for the treatment of rheumatoid arthritis: results of STAR (Safety Trial of Adalimumab in Rheumatoid Arthritis).", "type" : "article-journal", "volume" : "30" }, "uris" : [ "http://www.mendeley.com/documents/?uuid=94e5a455-3615-40dd-9aa9-e23292aae9b5" ] }, { "id" : "ITEM-6", "itemData" : { "author" : [ { "family" : "Goekoop-Ruiterman", "given" : "YP" }, { "family" : "de Vries-Bouwstra", "given" : "J K" }, { "family" : "Allaart", "given" : "C F" }, { "family" : "van Zeben", "given" : "D" }, { "family" : "Kerstens", "given" : "PJ" }, { "family" : "Hazes", "given" : "J M W" }, { "family" : "Zwinderman", "given" : "a H" }, { "family" : "Ronday", "given" : "H K" }, { "family" : "Han", "given" : "KH" }, { "family" : "Westedt", "given" : "M L" }, { "family" : "Gerards", "given" : "a H" }, { "family" : "van Groenendael", "given" : "J H L M" }, { "family" : "Lems", "given" : "W F" }, { "family" : "van Krugten", "given" : "M V" }, { "family" : "Breedveld", "given" : "Ferdinand C" }, { "family" : "Dijkmans", "given" : "B A" } ], "container-title" : "Arthritis and rheumatism", "id" : "ITEM-6", "issued" : { "date-parts" : [ [ "2008" ] ] }, "note" : "\u003cm:note\u003eOBJECTIVE: Several treatment strategies have proven value in the amelioration of rheumatoid arthritis (RA), but the optimal strategy for preventing long-term joint damage and functional decline is unclear. We undertook this study to compare clinical and radiographic outcomes of 4 different treatment strategies, with intense monitoring in all patients. METHODS: In a multicenter, randomized clinical trial, 508 patients were allocated to 1 of 4 treatment strategies: sequential disease-modifying antirheumatic drug monotherapy (group 1), step-up combination therapy (group 2), initial combination therapy with tapered high-dose prednisone (group 3), and initial combination therapy with the tumor necrosis factor antagonist infliximab (group 4). Treatment adjustments were made every 3 months in an effort to obtain low disease activity (a Disease Activity Score in 44 joints of \u003c/m:note\u003e", "page" : "126-35", "publisher-place" : "Leiden University Medical Center, Leiden, The Netherlands. y.p.m.goekoop@lumc.nl", "title" : "Clinical and radiographic outcomes of four different treatment strategies in patients with early rheumatoid arthritis (the BeSt study): A randomized, controlled trial.", "type" : "article-journal", "volume" : "58 2 Suppl" }, "uris" : [ "http://www.mendeley.com/documents/?uuid=261572b3-bba8-45c8-8527-b49c7481ca32" ] }, { "id" : "ITEM-7", "itemData" : { "DOI" : "10.1002/art.21405", "abstract" : "Several treatment strategies have proven value in the amelioration of rheumatoid arthritis (RA), but the optimal strategy for preventing long-term joint damage and functional decline is unclear. We undertook this study to compare clinical and radiographic outcomes of 4 different treatment strategies, with intense monitoring in all patients.", "author" : [ { "family" : "Goekoop-Ruiterman", "given" : "YP P M" }, { "family" : "de Vries-Bouwstra", "given" : "JK K" }, { "family" : "Allaart", "given" : "C F" }, { "family" : "van Zeben", "given" : "D" }, { "family" : "Kerstens", "given" : "PJ J S M" }, { "family" : "Hazes", "given" : "J M W" }, { "family" : "Zwinderman", "given" : "a H" }, { "family" : "Ronday", "given" : "H K" }, { "family" : "Han", "given" : "KH H" }, { "family" : "Westedt", "given" : "M L" }, { "family" : "Gerards", "given" : "a H" }, { "family" : "van Groenendael", "given" : "J H L M" }, { "family" : "Lems", "given" : "W F" }, { "family" : "van Krugten", "given" : "M V" }, { "family" : "Breedveld", "given" : "Ferdinand C" }, { "family" : "Dijkmans", "given" : "B a C" } ], "container-title" : "Arthritis and rheumatism", "id" : "ITEM-7", "issue" : "11", "issued" : { "date-parts" : [ [ "2005", "11" ] ] }, "note" : "\u003cm:note\u003e        \u003cm:bold\u003eFrom Duplicate 1 ( \u003c/m:bold\u003e        \u003cm:bold\u003e          \u003c/m:bold\u003e\u003cm:bold\u003e\u003cm:italic\u003eClinical and radiographic outcomes of four different treatment strategies in patients with early rheumatoid arthritis (the BeSt study): a randomized, controlled trial.\u003c/m:italic\u003e\u003c/m:bold\u003e\u003cm:bold\u003e        \u003c/m:bold\u003e        \u003cm:bold\u003e - Goekoop-Ruiterman, Y P M; de Vries-Bouwstra, J K; Allaart, C F; van Zeben, D; Kerstens, P J S M; Hazes, J M W; Zwinderman, a H; Ronday, H K; Han, K H; Westedt, M L; Gerards, a H; van Groenendael, J H L M; Lems, W F; van Krugten, M V; Breedveld, F C; Dijkmans, B a C )\u003cm:linebreak/\u003e        \u003c/m:bold\u003e        \u003cm:linebreak/\u003e        \u003cm:linebreak/\u003e        \u003cm:linebreak/\u003e        \u003cm:bold\u003eFrom Duplicate 2 ( \u003c/m:bold\u003e        \u003cm:bold\u003e          \u003c/m:bold\u003e\u003cm:bold\u003e\u003cm:italic\u003eClinical and radiographic outcomes of four different treatment strategies in patients with early rheumatoid arthritis (the BeSt study): a randomized, controlled trial.\u003c/m:italic\u003e\u003c/m:bold\u003e\u003cm:bold\u003e        \u003c/m:bold\u003e        \u003cm:bold\u003e - Goekoop-Ruiterman, YP; de Vries-Bouwstra, JK; Allaart, C F; van Zeben, D; Kerstens, PJ; Hazes, J M W; Zwinderman, a H; Ronday, H K; Han, KH; Westedt, M L; Gerards, a H; van Groenendael, J H L M; Lems, W F; van Krugten, M V; Breedveld, Ferdinand C; Dijkmans, B A )\u003cm:linebreak/\u003e        \u003c/m:bold\u003e        \u003cm:linebreak/\u003eOBJECTIVE: Several treatment strategies have proven value in the amelioration of rheumatoid arthritis (RA), but the optimal strategy for preventing long-term joint damage and functional decline is unclear. We undertook this study to compare clinical and radiographic outcomes of 4 different treatment strategies, with intense monitoring in all patients. METHODS: In a multicenter, randomized clinical trial, 508 patients were allocated to 1 of 4 treatment strategies: sequential disease-modifying antirheumatic drug monotherapy (group 1), step-up combination therapy (group 2), initial combination therapy with tapered high-dose prednisone (group 3), and initial combination therapy with the tumor necrosis factor antagonist infliximab (group 4). Treatment adjustments were made every 3 months in an effort to obtain low disease activity (a Disease Activity Score in 44 joints of \u003cm:linebreak/\u003e        \u003cm:linebreak/\u003e      \u003c/m:note\u003e", "page" : "3381-3390", "publisher-place" : "Leiden University Medical Center, PO Box 9600, 2300 RC Leiden, The Netherlands. y.p.m.goekoop@lumc.nl", "title" : "Clinical and radiographic outcomes of four different treatment strategies in patients with early rheumatoid arthritis (the BeSt study): a randomized, controlled trial.", "type" : "article-journal", "volume" : "52" }, "uris" : [ "http://www.mendeley.com/documents/?uuid=d08f6237-06a4-41e7-8c59-1675e1512264" ] }, { "id" : "ITEM-8", "itemData" : { "author" : [ { "family" : "Maini", "given" : "R N" }, { "family" : "Breedveld", "given" : "F C" }, { "family" : "Kalden", "given" : "J R" }, { "family" : "Smolen", "given" : "J S" }, { "family" : "Davis", "given" : "D" }, { "family" : "Macfarlane", "given" : "J D" }, { "family" : "Antoni", "given" : "C" }, { "family" : "Leeb", "given" : "B" }, { "family" : "Elliott", "given" : "M J" }, { "family" : "Woody", "given" : "J N" }, { "family" : "Schaible", "given" : "T F" }, { "family" : "Feldmann", "given" : "M" } ], "container-title" : "Arthritis \u0026 Rheumatism", "id" : "ITEM-8", "issue" : "9", "issued" : { "date-parts" : [ [ "1998" ] ] }, "note" : "\u003cm:note\u003eOBJECTIVE: To evaluate the efficacy, pharmacokinetics, immunogenicity, and safety of multiple infusions of a chimeric monoclonal anti-tumor necrosis factor alpha antibody (cA2) (infliximab; Remicade, Centocor, Malvern, PA) given alone or in combination with low-dose methotrexate (MTX) in rheumatoid arthritis (RA) patients. METHODS: In a 26-week, double-blind, placebo-controlled, multicenter trial, 101 patients with active RA exhibiting an incomplete response or flare of disease activity while receiving low-dose MTX were randomized to 1 of 7 groups of 14-15 patients each. The patients received either intravenous cA2 at 1, 3, or 10 mg/kg, with or without MTX 7.5 mg/week, or intravenous placebo plus MTX 7.5 mg/week at weeks 0, 2, 6, 10, and 14 and were followed up through week 26. RESULTS: Approximately 60% of patients receiving cA2 at 3 or 10 mg/kg with or without MTX achieved the 20% Paulus criteria for response to treatment, for a median duration of 10.4 to \u0026gt;18.1 weeks (P 60% of patients to a median of 16.5 weeks (P \u003c/m:note\u003e", "page" : "1552-1563", "publisher-place" : "Kennedy Institute of Rheumatology, Hammersmith, Charing Cross and Westminster Medical School, London, UK.", "title" : "Therapeutic efficacy of multiple intravenous infusions of anti-tumor necrosis factor alpha monoclonal antibody combined with low-dose weekly methotrexate in rheumatoid arthritis.", "type" : "article-journal", "volume" : "41" }, "uris" : [ "http://www.mendeley.com/documents/?uuid=8b9a71ba-98d6-4120-ae5f-493c960542c0" ] }, { "id" : "ITEM-9", "itemData" : { "author" : [ { "family" : "Miceli-Richard", "given" : "C" }, { "family" : "Comets", "given" : "E" }, { "family" : "Verstuyft", "given" : "C" }, { "family" : "Tamouza", "given" : "R" }, { "family" : "Loiseau", "given" : "P" }, { "family" : "Ravaud", "given" : "P" }, { "family" : "Kupper", "given" : "H" }, { "family" : "Becquemont", "given" : "L" }, { "family" : "Charron", "given" : "D" }, { "family" : "Mariette", "given" : "X" } ], "container-title" : "Annals of the Rheumatic Diseases", "id" : "ITEM-9", "issue" : "4", "issued" : { "date-parts" : [ [ "2008" ] ] }, "note" : "\u003cm:note\u003eOBJECTIVE: To determine whether tumour necrosis factor (TNF) gene polymorphisms and/or the shared epitope are genetic predictors of the response to adalimumab (ADA) in rheumatoid arthritis (RA). METHODS: This ancillary study to the Research in Active Rheumatoid Arthritis (ReAct) Phase IIIb study included a large cohort of Caucasian patients with RA from France (n = 388) treated with ADA plus methotrexate (MTX) (n = 182), ADA plus any other DMARD (n = 98) or ADA alone (n = 108). The primary outcome was ACR50 at 12 weeks. Patients underwent genotyping for HLA-DRB1 and three TNF gene polymorphisms (-238A/G,-308A/G and-857C/T). Extended haplotypes involving HLA-DRB1 and TNF loci were reconstructed using the PHASE program. RESULTS: A total of 151 patients (40%) had an ACR50 response at week 12. Neither the number of HLA-DRB1 shared epitope copies nor presence of the three TNF polymorphisms tested separately was significantly associated with ACR50 response at week 12. However, haplotype reconstruction of the TNF locus revealed that the GGC haplotype (-238G/-308G/-857C) in a homozygous form (i.e. present in more than half of the patients) was significantly associated with a lower ACR50 response to ADA at 12 weeks (34% vs. 50% in patients without the haplotype) (p = 0.003; pa = 0.015). This effect was more important in the subgroup of patients concomitantly treated with MTX. CONCLUSION: This large pharmacogenetic study provides preliminary data indicating that a single TNF locus haplotype (-238G/-308G/-857C), present on both chromosomes is associated with a lower response to ADA, mainly in patients treated with ADA and MTX. [References: 30]\u003c/m:note\u003e", "page" : "478-484", "publisher-place" : "Rhumatologie, Institut Pour la Sante et la Recherche Medicale U 802, Universite Paris-Sud 11, Hopital Bicetre, Assistance Publique-Hopitaux de Paris, Le Kremlin Bicetre, France.", "title" : "A single tumour necrosis factor haplotype influences the response to adalimumab in rheumatoid arthritis", "type" : "article-journal", "volume" : "67" }, "uris" : [ "http://www.mendeley.com/documents/?uuid=a96c423a-db09-4191-97a1-87a82a235ac3" ] }, { "id" : "ITEM-10", "itemData" : { "author" : [ { "family" : "Moreland", "given" : "L W" }, { "family" : "Baumgartner", "given" : "S W" }, { "family" : "Schiff", "given" : "M H" }, { "family" : "Tindall", "given" : "E A" }, { "family" : "Fleischmann", "given" : "R M" }, { "family" : "Weaver", "given" : "A L" }, { "family" : "Ettlinger", "given" : "R E" }, { "family" : "Cohen", "given" : "S" }, { "family" : "Koopman", "given" : "W J" }, { "family" : "Mohler", "given" : "K" }, { "family" : "Widmer", "given" : "M B" }, { "family" : "Blosch", "given" : "C M" } ], "container-title" : "New England Journal of Medicine", "id" : "ITEM-10", "issue" : "3", "issued" : { "date-parts" : [ [ "1997" ] ] }, "note" : "\u003cm:note\u003eBACKGROUND: Tumor necrosis factor (TNF) is a proinflammatory cytokine involved in the pathogenesis of rheumatoid arthritis, and antagonism of TNF may reduce the activity of the disease. This study evaluated the safety and efficacy of a novel TNF antagonist - a recombinant fusion protein that consists of the soluble TNF receptor (p75) linked to the Fc portion of human IgG1 (TNFR:Fc). METHODS: In this multicenter, double-blind trial, we randomly assigned 180 patients with refractory rheumatoid arthritis to receive subcutaneous injections of placebo or one of three doses of TNFR:Fc (0.25, 2, or 16 mg per square meter of body-surface area) twice weekly for three months. The clinical response was measured by changes in composite symptoms of arthritis defined according to American College of Rheumatology criteria. RESULTS: Treatment with TNFR:Fc led to significant reductions in disease activity, and the therapeutic effects of TNFR:Fc were dose-related. At three months, 75 percent of the patients in the group assigned to 16 mg of TNFR:Fc per square meter had improvement of 20 percent or more in symptoms, as compared with 14 percent in the placebo group (P\u003c/m:note\u003e", "page" : "141-147", "publisher-place" : "University of Alabama at Birmingham, 35294-7201, USA.", "title" : "Treatment of rheumatoid arthritis with a recombinant human tumor necrosis factor receptor (p75)-Fc fusion protein.", "type" : "article-journal", "volume" : "337" }, "uris" : [ "http://www.mendeley.com/documents/?uuid=378f1f0e-65a4-4711-8a67-ee323c2aa416" ] }, { "id" : "ITEM-11", "itemData" : { "DOI" : "10.1002/art.22718", "abstract" : "To evaluate the efficacy of infliximab plus methotrexate (MTX) as induction therapy in patients with early rheumatoid arthritis (RA).", "author" : [ { "family" : "van der Bijl", "given" : "AE E" }, { "family" : "Goekoop-Ruiterman", "given" : "YP P M" }, { "family" : "de Vries-Bouwstra", "given" : "JK K" }, { "family" : "Ten Wolde", "given" : "S" }, { "family" : "Han", "given" : "KH H" }, { "family" : "van Krugten", "given" : "M V" }, { "family" : "Allaart", "given" : "C F" }, { "family" : "Breedveld", "given" : "Ferdinand C" }, { "family" : "Dijkmans", "given" : "B a C" } ], "container-title" : "Arthritis and rheumatism", "id" : "ITEM-11", "issue" : "7", "issued" : { "date-parts" : [ [ "2007", "7" ] ] }, "note" : "\u003cm:note\u003e        \u003cm:bold\u003eFrom Duplicate 1 ( \u003c/m:bold\u003e        \u003cm:bold\u003e          \u003c/m:bold\u003e\u003cm:bold\u003e\u003cm:italic\u003eInfliximab and methotrexate as induction therapy in patients with early rheumatoid arthritis.\u003c/m:italic\u003e\u003c/m:bold\u003e\u003cm:bold\u003e        \u003c/m:bold\u003e        \u003cm:bold\u003e - van der Bijl, a E; Goekoop-Ruiterman, Y P M; de Vries-Bouwstra, J K; Ten Wolde, S; Han, K H; van Krugten, M V; Allaart, C F; Breedveld, F C; Dijkmans, B a C )\u003cm:linebreak/\u003e        \u003c/m:bold\u003e        \u003cm:linebreak/\u003e        \u003cm:linebreak/\u003e        \u003cm:linebreak/\u003e        \u003cm:bold\u003eFrom Duplicate 2 ( \u003c/m:bold\u003e        \u003cm:bold\u003e          \u003c/m:bold\u003e\u003cm:bold\u003e\u003cm:italic\u003eInfliximab and methotrexate as induction therapy in patients with early rheumatoid arthritis.\u003c/m:italic\u003e\u003c/m:bold\u003e\u003cm:bold\u003e        \u003c/m:bold\u003e        \u003cm:bold\u003e - van der Bijl, AE; Goekoop-Ruiterman, YP; de Vries-Bouwstra, JK; Ten Wolde, S; Han, KH; van Krugten, M V; Allaart, C F; Breedveld, Ferdinand C; Dijkmans, B A )\u003cm:linebreak/\u003e        \u003c/m:bold\u003e        \u003cm:linebreak/\u003eOBJECTIVE: To evaluate the efficacy of infliximab plus methotrexate (MTX) as induction therapy in patients with early rheumatoid arthritis (RA). METHODS: Disease-modifying antirheumatic drug (DMARD)-naive patients with active, early RA who were included as group 4 of the BeSt study were initially treated with infliximab (3 mg/kg) in combination with MTX (25 mg/week). The Disease Activity Score (DAS) was measured every 3 months. In patients with persistent low disease activity (DAS 2.4, the infliximab dosage was increased (maximum 10 mg/kg), and they were subsequently switched to another DMARD. Except for intraarticular administration, corticosteroids were not permitted. Functional ability and the modified Sharp/van der Heijde score were determined after 2 years of therapy. RESULTS: Of the 120 patients, 67 responders (56%) had persistent low disease activity and discontinued infliximab after a median of 9.9 months, with a median MTX dosage of 10 mg/week after 2 years. Ten other patients experienced a disease flare after discontinuation and resumed infliximab after a median of 3.7 months. Thirteen patients did not achieve persistent low disease activity and received infliximab at various dosages. Treatment was unsuccessful in 30 patients. In the 67 responders, the progression of joint damage was lower than in the 30 patients in whom treatment failed. CONCLUSION: Fifty-six percent of patients with active early RA, initially treated with infliximab plus MTX, could discontinue infliximab after a\u2026", "page" : "2129-2134", "publisher-place" : "Leiden University Medical Center, Leiden, The Netherlands. a.e.van_der_bijl@lumc.nl", "title" : "Infliximab and methotrexate as induction therapy in patients with early rheumatoid arthritis.", "type" : "article-journal", "volume" : "56" }, "uris" : [ "http://www.mendeley.com/documents/?uuid=3682ac0b-6366-4044-afd7-a633fec56d39" ] }, { "id" : "ITEM-12", "itemData" : { "DOI" : "10.1136/ard.2005.043299", "abstract" : "To evaluate the efficacy and safety of etanercept (ETN) monotherapy compared with combination ETN and methotrexate (MTX) treatment in patients with rheumatoid arthritis who had an inadequate response to MTX monotherapy. (The response was defined by the presence of Disease Activity Score-28 joint count (DAS28) \u003eor=3.2 or a combination of \u003eor=5 swollen joints, \u003eor=5 painful joints and erythrocyte sedimentation rate \u003eor=10 mm/h.)", "author" : [ { "family" : "van Riel", "given" : "P L C M" }, { "family" : "Taggart", "given" : "a J" }, { "family" : "Sany", "given" : "J" }, { "family" : "Gaubitz", "given" : "M" }, { "family" : "Nab", "given" : "H W" }, { "family" : "Pedersen", "given" : "R" }, { "family" : "Freundlich", "given" : "B" }, { "family" : "MacPeek", "given" : "D" } ], "container-title" : "Annals of the rheumatic diseases", "id" : "ITEM-12", "issue" : "11", "issued" : { "date-parts" : [ [ "2006", "11" ] ] }, "note" : "\u003cm:note/\u003e", "page" : "1478-83", "title" : "Efficacy and safety of combination etanercept and methotrexate versus etanercept alone in patients with rheumatoid arthritis with an inadequate response to methotrexate: the ADORE study.", "type" : "article-journal", "volume" : "65" }, "uris" : [ "http://www.mendeley.com/documents/?uuid=fc32c909-6639-4681-9ec5-335e9a5d2827" ] }, { "id" : "ITEM-13", "itemData" : { "author" : [ { "family" : "Weisman", "given" : "M H" }, { "family" : "Paulus", "given" : "H E" }, { "family" : "Burch", "given" : "F X" }, { "family" : "Kivitz", "given" : "A J" }, { "family" : "Fierer", "given" : "J" }, { "family" : "Dunn", "given" : "M" }, { "family" : "Kerr", "given" : "D R" }, { "family" : "Tsuji", "given" : "W" }, { "family" : "Baumgartner", "given" : "S W" } ], "container-title" : "Rheumatology", "id" : "ITEM-13", "issue" : "7", "issued" : { "date-parts" : [ [ "2007" ] ] }, "note" : "\u003cm:note\u003eOBJECTIVE: To evaluate the safety of etanercept in patients with rheumatoid arthritis (RA) and concomitant comorbidities. METHODS: The safety of etanercept (25 mg twice weekly) in RA patients with at least one comorbidity (i.e. diabetes mellitus, chronic pulmonary disease, recent pneumonia, recurrent infections) was evaluated in a 16-week placebo-controlled, randomized, double-blinded study. The primary endpoint was the incidence of medically important infections (MIIs; defined as those resulting in hospitalization or treatment with intravenous antibiotics). RESULTS: Data from 535 patients were analysed; the study was terminated early because of slow enrolment and lower than predicted incidence of infections. Serious adverse events (5.9% placebo, 8.6% etanercept) were most commonly observed in the cardiovascular system. Six patients (1 placebo; 5 etanercept) died during the study; four deaths were attributed to cardiovascular events. The numerically higher mortality in the etanercept group was not statistically significant [relative risk (95% CI) = 5.06 (0.59, 42.99)] but remains unexplained. No etanercept-related increase in the incidence of MIIs (3.7% placebo, 3.0% etanercept) or overall infections was observed in the total study population or in subgroups of patients who were \u0026gt; or = 65 yrs of age, had diabetes or had chronic pulmonary disease. CONCLUSIONS: Etanercept was generally well tolerated by RA patients with comorbidities. Serious adverse events and deaths occurred more frequently in the etanercept group but event numbers were small and CIs were broad, preventing reliable conclusions from being drawn. Although the study had limited statistical power, the incidence of MIIs in these patients was not increased by etanercept treatment.\u003c/m:note\u003e", "page" : "1122-1125", "publisher-place" : "Division of Rheumatology, Cedars Sinai Medical Center, Los Angeles, CA 90048, USA. michael.weisman@cshs.org", "title" : "A placebo-controlled, randomized, double-blinded study evaluating the safety of etanercept in patients with rheumatoid arthritis and concomitant comorbid diseases.", "type" : "article-journal", "volume" : "46" }, "uris" : [ "http://www.mendeley.com/documents/?uuid=7725b553-63d1-43c0-babd-108d5fd79230" ] }, { "id" : "ITEM-14", "itemData" : { "DOI" : "10.1002/art.21734", "abstract" : "To assess the risk of serious infections following 22 weeks of infliximab therapy, and to further characterize the safety profile of infliximab in combination with background treatments during 1 year in patients with rheumatoid arthritis (RA) with various comorbidities.", "author" : [ { "family" : "Westhovens", "given" : "Rene" }, { "family" : "Yocum", "given" : "David" }, { "family" : "Han", "given" : "John" }, { "family" : "Berman", "given" : "Alberto" }, { "family" : "Strusberg", "given" : "Ingrid" }, { "family" : "Geusens", "given" : "Piet" }, { "family" : "Rahman", "given" : "Mahboob U" } ], "container-title" : "Arthritis and rheumatism", "id" : "ITEM-14", "issue" : "4", "issued" : { "date-parts" : [ [ "2006", "4" ] ] }, "note" : "\u003cm:note/\u003e", "page" : "1075-86", "title" : "The safety of infliximab, combined with background treatments, among patients with rheumatoid arthritis and various comorbidities: a large, randomized, placebo-controlled trial.", "type" : "article-journal", "volume" : "54" }, "uris" : [ "http://www.mendeley.com/documents/?uuid=e7ba1051-e1eb-4d61-a309-a4c4d4e2a7ea" ] }, { "id" : "ITEM-15", "itemData" : { "author" : [ { "family" : "Zhang", "given" : "F -C" }, { "family" : "Hou", "given" : "Y" }, { "family" : "Huang", "given" : "F" }, { "family" : "Wu", "given" : "D -H" }, { "family" : "Bao", "given" : "C -D" }, { "family" : "Ni", "given" : "L -Q" }, { "family" : "Yao", "given" : "C" } ], "container-title" : "APLAR Journal of Rheumatology", "id" : "ITEM-15", "issue" : "2", "issued" : { "date-parts" : [ [ "2006" ] ] }, "note" : "\u003cm:note\u003eAim: To report the efficacy and safety of infliximab in the treatment of active rheumatoid arthritis (RA) in Chinese patients. Methods: This is a multicentre double-blind placebo controlled study. Patients with active RA despite being on a stable dose of methotrexate were randomly assigned to receive either infliximab 3 mg/kg body weight or placebo infusion at weeks 0, 2, 6 and 14. All patients continued their stable dose of methotrexate throughout the study. Patients were assessed at weeks 0, 2, 6, 14 and 18 for the American College of Rheumatology (ACR) 20%, 50% and 70% response (ACR20, 50 and 70, respectively). Health assessment questionnaire (HAQ), erythrocyte sedimentation rate (ESR), c-reactive protein (CRP), duration of morning stiffness and adverse effects were monitored. Results: Infliximab was effective in improving the disease activity of RA with significant ACR20 response observed at week 2 (infliximab vs. placebo 52.87% vs. 13.95%, P \u003c/m:note\u003e", "page" : "127-130", "publisher-place" : "Affiliation: Department of Rheumatology, Peking Union Medical College Hospital, China; Affiliation: Department of Rheumatology, Chinese People's Liberation Army General Hospital, China; Affiliation: Department of Rheumatology, Sino-Japanese Friendship Hos", "title" : "Infliximab versus placebo in rheumatoid arthritis patients receiving concomitant methotrexate: A preliminary study from China", "type" : "article-journal", "volume" : "9" }, "uris" : [ "http://www.mendeley.com/documents/?uuid=37c3d60d-8475-4e0b-bf5c-6fb18fa02528" ] }, { "id" : "ITEM-16", "itemData" : { "abstract" : "BACKGROUND: Tumour necrosis factor alpha (TNFalpha) inhibitors are frequently used to treat rheumatoid arthritis, but whether use of a different TNFalpha inhibitor can improve patient response is unknown. We assess the efficacy and safety of the TNFalpha inhibitor golimumab in patients with active rheumatoid arthritis who had previously received one or more TNFalpha inhibitors. METHODS: 461 patients with active rheumatoid arthritis from 82 sites in 10 countries were randomly allocated by interactive voice response system, stratified by study site and methotrexate use, to receive subcutaneous injections of placebo (n=155), 50 mg golimumab (n=153), or 100 mg golimumab (n=153) every 4 weeks between Feb 21, 2006, and Sept 26, 2007. Allocation was double-blind. Eligible patients had been treated with at least one dose of a TNFalpha inhibitor previously. Patients continued stable doses of methotrexate, sulfasalazine, hydroxychloroquine, oral corticosteroids, and non-steroidal anti-inflammatory drugs. The primary endpoint was achievement at week 14 of 20% or higher improvement in American College of Rheumatology criteria for assessment of rheumatoid arthritis (ACR20). At week 16, patients who had less than 20% improvement in tender and swollen joint counts were given rescue therapy and changed treatment from placebo to 50 mg golimumab, or from 50 mg to 100 mg golimumab. Drug efficacy was assessed by intention to treat and safety was assessed according to the study drug given. This study is registered with ClinicalTrials.gov, number NCT00299546. FINDINGS: Patients had discontinued previous TNFalpha inhibitors because of lack of effectiveness (269 [58%] patients) or reasons unrelated to effectiveness (246 [53%] patients), such as intolerance and accessibility issues. Patients had active disease, which was indicated by a median of 14.0 (IQR 9.0-22.0) swollen and 26.0 (16.0-41.0) tender joints for the whole group. 28 (18%) patients on placebo, 54 (35%) patients on 50 mg golimumab (odds ratio 2.5 [95% CI 1.5-4.2], p=0.0006), and 58 (38%) patients on 100 mg golimumab (2.8 [1.6-4.7], p=0.0001) achieved ACR20 at week 14. Two patients were never treated, and 57 patients did not complete the study because of adverse events, unsatisfactory treatment effect, loss to follow-up, death, or other reasons. 155 patients on placebo, 153 on 50 mg golimumab, and 153 on 100 mg golimumab were assessed for drug efficacy. For weeks 1-16, serious adverse events were recorded in 11 (7%)\u2026", "author" : [ { "family" : "Smolen", "given" : "J S" }, { "family" : "Kay", "given" : "J" }, { "family" : "Doyle", "given" : "M K" }, { "family" : "Landewe", "given" : "R" }, { "family" : "Matteson", "given" : "E L" }, { "family" : "Wollenhaupt", "given" : "J" }, { "family" : "Gaylis", "given" : "N" }, { "family" : "Murphy", "given" : "F T" }, { "family" : "Neal", "given" : "J S" }, { "family" : "Zhou", "given" : "Y" }, { "family" : "Visvanathan", "given" : "S" }, { "family" : "Hsia", "given" : "E C" }, { "family" : "Rahman", "given" : "M U" }, { "family" : "GO-AFTER study", "given" : "investigators" } ], "container-title" : "Lancet", "editor" : [ { "family" : "Ahern", "given" : "M J" }, { "family" : "Hall", "given" : "S" }, { "family" : "Nash", "given" : "P T" }, { "family" : "Graninger", "given" : "W" }, { "family" : "Ebner", "given" : "W" }, { "family" : "Machold", "given" : "K" }, { "family" : "Zamani", "given" : "O" }, { "family" : "Atkins", "given" : "C" }, { "family" : "Beaulieu", "given" : "A" }, { "family" : "Bell", "given" : "M" }, { "family" : "Fitzcharles", "given" : "M A" }, { "family" : "Keystone", "given" : "E" }, { "family" : "Khraishi", "given" : "M" }, { "family" : "McKendry", "given" : "R J" }, { "family" : "Rahman", "given" : "P" }, { "family" : "Thomason", "given" : "G T" }, { "family" : "Thorne", "given" : "J C" }, { "family" : "Bookman", "given" : "A" }, { "family" : "Faraawi", "given" : "R" }, { "family" : "Hannonen", "given" : "P" }, { "family" : "Leirisalo-Repo", "given" : "M" }, { "family" : "Jarvinen", "given" : "P" }, { "family" : "Braun", "given" : "J" }, { "family" : "Burmester", "given" : "G" }, { "family" : "Fiehn", "given" : "C" }, { "family" : "Gruenke", "given" : "M" }, { "family" : "Bauerle", "given" : "M" }, { "family" : "Hauer", "given" : "R W" }, { "family" : "Kellner", "given" : "H" }, { "family" : "Rubbert", "given" : "A" }, { "family" : "Schewe", "given" : "S" }, { "family" : "Sieper", "given" : "J" }, { "family" : "Tony", "given" : "H P" }, { "family" : "Kekow", "given" : "J" }, { "family" : "Ching", "given" : "D W" }, { "family" : "Jones", "given" : "P B" }, { "family" : "Singh", "given" : "G P" }, { "family" : "Navarro Sarabia", "given" : "F" }, { "family" : "Rodriguez Valverde", "given" : "V" }, { "family" : "Roman Ivorra", "given" : "J A" }, { "family" : "Harkin", "given" : "A" }, { "family" : "Doyle", "given" : "D" }, { "family" : "Kirkham", "given" : "B" }, { "family" : "Wordsworth", "given" : "B P" }, { "family" : "Emery", "given" : "P" }, { "family" : "Anderson", "given" : "J" }, { "family" : "Hou", "given" : "A" }, { "family" : "Boling", "given" : "E P" }, { "family" : "Del Giudice", "given" : "J" }, { "family" : "Forstot", "given" : "J" }, { "family" : "Griffin Jr", "given" : "R M" }, { "family" : "Halter", "given" : "D G" }, { "family" : "Heick", "given" : "M A" }, { "family" : "Kipnis", "given" : "R" }, { "family" : "Klashman", "given" : "D" }, { "family" : "Lee", "given" : "S" }, { "family" : "Lowenstein", "given" : "M" }, { "family" : "Luggen", "given" : "M E" }, { "family" : "Mandel", "given" : "D" }, { "family" : "Mathews", "given" : "S D" }, { "family" : "Miniter", "given" : "M F" }, { "family" : "Pearson", "given" : "M" }, { "family" : "Peters", "given" : "E A" }, { "family" : "Riccardi", "given" : "P" }, { "family" : "Rubin", "given" : "B R" }, { "family" : "Shergy", "given" : "W J" }, { "family" : "Siegel", "given" : "E L" }, { "family" : "Snow", "given" : "D" }, { "family" : "Stern", "given" : "M" }, { "family" : "Wasko", "given" : "M C" }, { "family" : "Furst", "given" : "D E" }, { "family" : "Busch", "given" : "H M" }, { "family" : "Trotter", "given" : "D R" }, { "family" : "DiGiovanni", "given" : "R L" }, { "family" : "Gladstein", "given" : "G S" }, { "family" : "Kimball", "given" : "S" }, { "family" : "Saway", "given" : "P A" }, { "family" : "Schneider", "given" : "R J" }, { "family" : "Brooks", "given" : "M S" }, { "family" : "Capps", "given" : "R J" }, { "family" : "Kempf", "given" : "P W" }, { "family" : "Troum", "given" : "O M" }, { "family" : "Title Golimumab in patients with active rheumatoid arthritis after treatment with tumour necrosis factor alpha inhibitors (GO-AFTER study): a multicentre  double-blind, placebo-controlled, phase III,trial", "given" : "randomised" }, { "family" : "[Erratum appears in", "given" : "Lancet" }, { "family" : "2009 Oct", "given" : "24" }, { "family" : "374(9699):1422]", "given" : "" } ], "id" : "ITEM-16", "issue" : "9685", "issued" : { "date-parts" : [ [ "2009" ] ] }, "note" : "\u003cm:note\u003eBACKGROUND: Tumour necrosis factor alpha (TNFalpha) inhibitors are frequently used to treat rheumatoid arthritis, but whether use of a different TNFalpha inhibitor can improve patient response is unknown. We assess the efficacy and safety of the TNFalpha inhibitor golimumab in patients with active rheumatoid arthritis who had previously received one or more TNFalpha inhibitors. METHODS: 461 patients with active rheumatoid arthritis from 82 sites in 10 countries were randomly allocated by interactive voice response system, stratified by study site and methotrexate use, to receive subcutaneous injections of placebo (n=155), 50 mg golimumab (n=153), or 100 mg golimumab (n=153) every 4 weeks between Feb 21, 2006, and Sept 26, 2007. Allocation was double-blind. Eligible patients had been treated with at least one dose of a TNFalpha inhibitor previously. Patients continued stable doses of methotrexate, sulfasalazine, hydroxychloroquine, oral corticosteroids, and non-steroidal anti-inflammatory drugs. The primary endpoint was achievement at week 14 of 20% or higher improvement in American College of Rheumatology criteria for assessment of rheumatoid arthritis (ACR20). At week 16, patients who had less than 20% improvement in tender and swollen joint counts were given rescue therapy and changed treatment from placebo to 50 mg golimumab, or from 50 mg to 100 mg golimumab. Drug efficacy was assessed by intention to treat and safety was assessed according to the study drug given. This study is registered with ClinicalTrials.gov, number NCT00299546. FINDINGS: Patients had discontinued previous TNFalpha inhibitors because of lack of effectiveness (269 [58%] patients) or reasons unrelated to effectiveness (246 [53%] patients), such as intolerance and accessibility issues. Patients had active disease, which was indicated by a median of 14.0 (IQR 9.0-22.0) swollen and 26.0 (16.0-41.0) tender joints for the whole group. 28 (18%) patients on placebo, 54 (35%) patients on 50 mg golimumab (odds ratio 2.5 [95% CI 1.5-4.2], p=0.0006), and 58 (38%) patients on 100 mg golimumab (2.8 [1.6-4.7], p=0.0001) achieved ACR20 at week 14. Two patients were never treated, and 57 patients did not complete the study because of adverse events, unsatisfactory treatment effect, loss to follow-up, death, or other reasons. 155 patients on placebo, 153 on 50 mg golimumab, and 153 on 100 mg golimumab were assessed for drug efficacy. For weeks 1-16, serious adverse events were recorded in\u2026", "page" : "210-221", "publisher-place" : "Medical University of Vienna and Hietzing Hospital, Division of Rheumatology, Department of Internal Medicine III, Vienna, Austria. josef.smolen@wienkav.at", "title" : "Golimumab in patients with active rheumatoid arthritis after treatment with tumour necrosis factor alpha inhibitors (GO-AFTER study): a multicentre, randomised, double-blind, placebo-controlled, phase III,trial", "type" : "article-journal", "volume" : "374" }, "uris" : [ "http://www.mendeley.com/documents/?uuid=858749cc-a1fa-42bd-9ac6-fe956f3ffdc0" ] }, { "id" : "ITEM-17", "itemData" : { "DOI" : "10.1136/ard.2006.065995", "abstract" : "To determine the efficacy, safety and pharmacokinetics of infliximab dose escalation in patients with rheumatoid arthritis (RA) who had an inadequate response to 3 mg/kg infliximab treatment or whose disease flared after initially responding.", "author" : [ { "family" : "Rahman", "given" : "Mahboob U" }, { "family" : "Strusberg", "given" : "Ingrid" }, { "family" : "Geusens", "given" : "Piet" }, { "family" : "Berman", "given" : "Alberto" }, { "family" : "Yocum", "given" : "David" }, { "family" : "Baker", "given" : "Daniel" }, { "family" : "Wagner", "given" : "Carrie" }, { "family" : "Han", "given" : "John" }, { "family" : "Westhovens", "given" : "Rene" } ], "container-title" : "Annals of the rheumatic diseases", "id" : "ITEM-17", "issue" : "9", "issued" : { "date-parts" : [ [ "2007", "9" ] ] }, "note" : "\u003cm:note/\u003e", "page" : "1233-8", "title" : "Double-blinded infliximab dose escalation in patients with rheumatoid arthritis.", "type" : "article-journal", "volume" : "66" }, "uris" : [ "http://www.mendeley.com/documents/?uuid=f36bfed7-91f1-4823-98ec-e3b310d6d3db" ] } ], "mendeley" : { "previouslyFormattedCitation" : "[30\u201346]" }, "properties" : { "noteIndex" : 0 }, "schema" : "https://github.com/citation-style-language/schema/raw/master/csl-citation.json" } </w:instrText>
            </w:r>
            <w:r w:rsidR="00BB0325" w:rsidRPr="00C95E9D">
              <w:rPr>
                <w:lang w:val="en-GB"/>
              </w:rPr>
              <w:fldChar w:fldCharType="separate"/>
            </w:r>
            <w:r w:rsidRPr="00C95E9D">
              <w:rPr>
                <w:lang w:val="en-GB"/>
              </w:rPr>
              <w:t>[30–46]</w:t>
            </w:r>
            <w:r w:rsidR="00BB0325" w:rsidRPr="00C95E9D">
              <w:rPr>
                <w:lang w:val="en-GB"/>
              </w:rPr>
              <w:fldChar w:fldCharType="end"/>
            </w:r>
            <w:r w:rsidRPr="00C95E9D">
              <w:rPr>
                <w:lang w:val="en-GB"/>
              </w:rPr>
              <w:t xml:space="preserve">. Five review articles, one letter to the editor </w:t>
            </w:r>
            <w:r w:rsidR="00BB0325" w:rsidRPr="00C95E9D">
              <w:rPr>
                <w:lang w:val="en-GB"/>
              </w:rPr>
              <w:fldChar w:fldCharType="begin" w:fldLock="1"/>
            </w:r>
            <w:r w:rsidRPr="00C95E9D">
              <w:rPr>
                <w:lang w:val="en-GB"/>
              </w:rPr>
              <w:instrText xml:space="preserve">ADDIN Mendeley Citation{c8715a15-b235-4db0-b35b-bd083e1eff2c} CSL_CITATION  { "citationItems" : [ { "id" : "ITEM-1", "itemData" : { "author" : [ { "family" : "Yocum", "given" : "D" }, { "family" : "Wolfe", "given" : "F" }, { "family" : "Rahman", "given" : "M U" }, { "family" : "Han", "given" : "J" }, { "family" : "Berman", "given" : "A" }, { "family" : "Strusberg", "given" : "I" }, { "family" : "Geusens", "given" : "P" }, { "family" : "Westhovens", "given" : "R" } ], "container-title" : "Arthritis and Rheumatism", "id" : "ITEM-1", "issue" : "9", "issued" : { "date-parts" : [ [ "2004" ] ] }, "note" : "\u003cm:note\u003ePT: J; SU: Suppl. S\u003c/m:note\u003e", "page" : "659-659", "title" : "The safety and efficacy of infliximab in RA: 1-year results of a large, randomized, placebo-controlled trial in patients with various comorbidities and background treatments as encountered in clinical practice.", "type" : "article-journal", "volume" : "50" }, "uris" : [ "http://www.mendeley.com/documents/?uuid=c8715a15-b235-4db0-b35b-bd083e1eff2c" ] } ], "mendeley" : { "previouslyFormattedCitation" : "[47]" }, "properties" : { "noteIndex" : 0 }, "schema" : "https://github.com/citation-style-language/schema/raw/master/csl-citation.json" } </w:instrText>
            </w:r>
            <w:r w:rsidR="00BB0325" w:rsidRPr="00C95E9D">
              <w:rPr>
                <w:lang w:val="en-GB"/>
              </w:rPr>
              <w:fldChar w:fldCharType="separate"/>
            </w:r>
            <w:r w:rsidRPr="00C95E9D">
              <w:rPr>
                <w:lang w:val="en-GB"/>
              </w:rPr>
              <w:t>[47]</w:t>
            </w:r>
            <w:r w:rsidR="00BB0325" w:rsidRPr="00C95E9D">
              <w:rPr>
                <w:lang w:val="en-GB"/>
              </w:rPr>
              <w:fldChar w:fldCharType="end"/>
            </w:r>
            <w:r w:rsidRPr="00C95E9D">
              <w:rPr>
                <w:lang w:val="en-GB"/>
              </w:rPr>
              <w:t xml:space="preserve"> and one erratum </w:t>
            </w:r>
            <w:r w:rsidR="00BB0325" w:rsidRPr="00C95E9D">
              <w:rPr>
                <w:lang w:val="en-GB"/>
              </w:rPr>
              <w:fldChar w:fldCharType="begin" w:fldLock="1"/>
            </w:r>
            <w:r w:rsidRPr="00C95E9D">
              <w:rPr>
                <w:lang w:val="en-GB"/>
              </w:rPr>
              <w:instrText xml:space="preserve">ADDIN Mendeley Citation{3e967c67-325a-4567-8c4b-b0bd823e38bf} CSL_CITATION  { "citationItems" : [ { "id" : "ITEM-1", "itemData" : { "author" : [ { "family" : "Keystone", "given" : "" } ], "container-title" : "Arthritis and Rheumatism", "id" : "ITEM-1", "issue" : "5", "issued" : { "date-parts" : [ [ "2009" ] ] }, "note" : "\u003cm:note\u003ePT: J\u003c/m:note\u003e", "page" : "1249", "title" : "Certolizumab Pegol Plus Methotrexate Is Significantly More Effective Than Placebo Plus Methotrexate in Active Rheumatoid Arthritis Findings of a Fifty-Two-Week, Phase III, Multicenter, Randomized, Double-Blind, Placebo-Controlled, Parallel-Group Study", "type" : "article-journal", "volume" : "60" }, "uris" : [ "http://www.mendeley.com/documents/?uuid=3e967c67-325a-4567-8c4b-b0bd823e38bf" ] } ], "mendeley" : { "previouslyFormattedCitation" : "[48]" }, "properties" : { "noteIndex" : 0 }, "schema" : "https://github.com/citation-style-language/schema/raw/master/csl-citation.json" } </w:instrText>
            </w:r>
            <w:r w:rsidR="00BB0325" w:rsidRPr="00C95E9D">
              <w:rPr>
                <w:lang w:val="en-GB"/>
              </w:rPr>
              <w:fldChar w:fldCharType="separate"/>
            </w:r>
            <w:r w:rsidRPr="00C95E9D">
              <w:rPr>
                <w:lang w:val="en-GB"/>
              </w:rPr>
              <w:t>[48]</w:t>
            </w:r>
            <w:r w:rsidR="00BB0325" w:rsidRPr="00C95E9D">
              <w:rPr>
                <w:lang w:val="en-GB"/>
              </w:rPr>
              <w:fldChar w:fldCharType="end"/>
            </w:r>
            <w:r w:rsidRPr="00C95E9D">
              <w:rPr>
                <w:lang w:val="en-GB"/>
              </w:rPr>
              <w:t xml:space="preserve"> were excluded. Several of the remaining 41 publications were reporting on a single study and were thus merged into one (table </w:t>
            </w:r>
            <w:r w:rsidR="003902F4">
              <w:rPr>
                <w:lang w:val="en-GB"/>
              </w:rPr>
              <w:t>S2</w:t>
            </w:r>
            <w:r w:rsidRPr="00C95E9D">
              <w:rPr>
                <w:lang w:val="en-GB"/>
              </w:rPr>
              <w:t xml:space="preserve">). Publications included in the systematic review and meta-analysis </w:t>
            </w:r>
            <w:proofErr w:type="gramStart"/>
            <w:r w:rsidRPr="00C95E9D">
              <w:rPr>
                <w:lang w:val="en-GB"/>
              </w:rPr>
              <w:t>are</w:t>
            </w:r>
            <w:proofErr w:type="gramEnd"/>
            <w:r w:rsidRPr="00C95E9D">
              <w:rPr>
                <w:lang w:val="en-GB"/>
              </w:rPr>
              <w:t xml:space="preserve"> listed in the bibliography with numbers 48-88. From the 26 clinical trials included in the systematic review, 8 used </w:t>
            </w:r>
            <w:proofErr w:type="spellStart"/>
            <w:r w:rsidRPr="00C95E9D">
              <w:rPr>
                <w:lang w:val="en-GB"/>
              </w:rPr>
              <w:t>adalimumab</w:t>
            </w:r>
            <w:proofErr w:type="spellEnd"/>
            <w:r w:rsidRPr="00C95E9D">
              <w:rPr>
                <w:lang w:val="en-GB"/>
              </w:rPr>
              <w:t xml:space="preserve">, 7 </w:t>
            </w:r>
            <w:proofErr w:type="spellStart"/>
            <w:proofErr w:type="gramStart"/>
            <w:r w:rsidRPr="00C95E9D">
              <w:rPr>
                <w:lang w:val="en-GB"/>
              </w:rPr>
              <w:t>etanercept</w:t>
            </w:r>
            <w:proofErr w:type="spellEnd"/>
            <w:r w:rsidRPr="00C95E9D">
              <w:rPr>
                <w:lang w:val="en-GB"/>
              </w:rPr>
              <w:t xml:space="preserve"> ,</w:t>
            </w:r>
            <w:proofErr w:type="gramEnd"/>
            <w:r w:rsidRPr="00C95E9D">
              <w:rPr>
                <w:lang w:val="en-GB"/>
              </w:rPr>
              <w:t xml:space="preserve"> 5 </w:t>
            </w:r>
            <w:proofErr w:type="spellStart"/>
            <w:r w:rsidRPr="00C95E9D">
              <w:rPr>
                <w:lang w:val="en-GB"/>
              </w:rPr>
              <w:t>infliximab</w:t>
            </w:r>
            <w:proofErr w:type="spellEnd"/>
            <w:r w:rsidRPr="00C95E9D">
              <w:rPr>
                <w:lang w:val="en-GB"/>
              </w:rPr>
              <w:t xml:space="preserve">, 3 </w:t>
            </w:r>
            <w:proofErr w:type="spellStart"/>
            <w:r w:rsidRPr="00C95E9D">
              <w:rPr>
                <w:lang w:val="en-GB"/>
              </w:rPr>
              <w:t>golimumab</w:t>
            </w:r>
            <w:proofErr w:type="spellEnd"/>
            <w:r w:rsidRPr="00C95E9D">
              <w:rPr>
                <w:lang w:val="en-GB"/>
              </w:rPr>
              <w:t xml:space="preserve"> and 3 </w:t>
            </w:r>
            <w:proofErr w:type="spellStart"/>
            <w:r w:rsidRPr="00C95E9D">
              <w:rPr>
                <w:lang w:val="en-GB"/>
              </w:rPr>
              <w:t>certolizumab</w:t>
            </w:r>
            <w:proofErr w:type="spellEnd"/>
            <w:r w:rsidRPr="00C95E9D">
              <w:rPr>
                <w:lang w:val="en-GB"/>
              </w:rPr>
              <w:t xml:space="preserve"> for intervention. The included trials have 9862 patients of which 6780 and 3082 were in intervention and control groups, respectively (table </w:t>
            </w:r>
            <w:r w:rsidR="003902F4">
              <w:rPr>
                <w:lang w:val="en-GB"/>
              </w:rPr>
              <w:t>S2</w:t>
            </w:r>
            <w:r w:rsidRPr="00C95E9D">
              <w:rPr>
                <w:lang w:val="en-GB"/>
              </w:rPr>
              <w:t xml:space="preserve">). </w:t>
            </w:r>
          </w:p>
          <w:p w:rsidR="00F27DFC" w:rsidRPr="00E02041" w:rsidRDefault="00F27DFC">
            <w:pPr>
              <w:spacing w:before="40" w:after="40"/>
              <w:rPr>
                <w:rFonts w:ascii="Calibri" w:hAnsi="Calibri"/>
                <w:bCs/>
                <w:color w:val="auto"/>
                <w:sz w:val="22"/>
                <w:szCs w:val="22"/>
                <w:lang w:val="en-GB"/>
              </w:rPr>
            </w:pPr>
          </w:p>
        </w:tc>
        <w:tc>
          <w:tcPr>
            <w:tcW w:w="1831"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5</w:t>
            </w:r>
          </w:p>
        </w:tc>
      </w:tr>
      <w:tr w:rsidR="00F27DFC" w:rsidTr="002279CA">
        <w:tc>
          <w:tcPr>
            <w:tcW w:w="2790"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Study characteristics</w:t>
            </w:r>
          </w:p>
        </w:tc>
        <w:tc>
          <w:tcPr>
            <w:tcW w:w="54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18</w:t>
            </w:r>
          </w:p>
        </w:tc>
        <w:tc>
          <w:tcPr>
            <w:tcW w:w="8875" w:type="dxa"/>
          </w:tcPr>
          <w:p w:rsidR="00F27DFC" w:rsidRDefault="00F27DFC" w:rsidP="003902F4">
            <w:pPr>
              <w:spacing w:before="40" w:after="40"/>
              <w:rPr>
                <w:rFonts w:ascii="Calibri" w:hAnsi="Calibri"/>
                <w:color w:val="auto"/>
                <w:sz w:val="22"/>
                <w:szCs w:val="22"/>
              </w:rPr>
            </w:pPr>
            <w:r w:rsidRPr="001F4342">
              <w:rPr>
                <w:lang w:val="en-GB"/>
              </w:rPr>
              <w:t xml:space="preserve">Study characteristics are described in table </w:t>
            </w:r>
            <w:r w:rsidR="003902F4">
              <w:rPr>
                <w:lang w:val="en-GB"/>
              </w:rPr>
              <w:t>S2</w:t>
            </w:r>
            <w:r w:rsidRPr="001F4342">
              <w:rPr>
                <w:lang w:val="en-GB"/>
              </w:rPr>
              <w:t>.</w:t>
            </w:r>
          </w:p>
        </w:tc>
        <w:tc>
          <w:tcPr>
            <w:tcW w:w="1831"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13-14</w:t>
            </w:r>
          </w:p>
        </w:tc>
      </w:tr>
      <w:tr w:rsidR="00F27DFC" w:rsidTr="002279CA">
        <w:tc>
          <w:tcPr>
            <w:tcW w:w="2790"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Risk of bias within studies</w:t>
            </w:r>
          </w:p>
        </w:tc>
        <w:tc>
          <w:tcPr>
            <w:tcW w:w="54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19</w:t>
            </w:r>
          </w:p>
        </w:tc>
        <w:tc>
          <w:tcPr>
            <w:tcW w:w="8875" w:type="dxa"/>
          </w:tcPr>
          <w:p w:rsidR="00C95E9D" w:rsidRPr="00C95E9D" w:rsidRDefault="00F27DFC" w:rsidP="00C95E9D">
            <w:pPr>
              <w:spacing w:before="40" w:after="40"/>
              <w:rPr>
                <w:lang w:val="en-GB"/>
              </w:rPr>
            </w:pPr>
            <w:r>
              <w:rPr>
                <w:lang w:val="en-GB"/>
              </w:rPr>
              <w:t>“</w:t>
            </w:r>
            <w:r w:rsidR="00C95E9D" w:rsidRPr="00C95E9D">
              <w:rPr>
                <w:lang w:val="en-GB"/>
              </w:rPr>
              <w:t xml:space="preserve">A potential source of bias was discovered in five trials included in the systematic review (table </w:t>
            </w:r>
            <w:r w:rsidR="003902F4">
              <w:rPr>
                <w:lang w:val="en-GB"/>
              </w:rPr>
              <w:t>1</w:t>
            </w:r>
            <w:r w:rsidR="00C95E9D" w:rsidRPr="00C95E9D">
              <w:rPr>
                <w:lang w:val="en-GB"/>
              </w:rPr>
              <w:t xml:space="preserve">). In many clinical trials there was an early escape route for patients with insufficient treatment response to avoid rapid disease progression. In some studies this was implemented by considering all patients failing to meet a pre-defined treatment response criteria (e.g. ACR 20 % improvement) as “non-responders” before the actual efficacy assessment. While this may be for the best interest of the study subjects, it may introduce a bias to the evaluation of the efficacy results. Another bias was caused by switching the control group to active medication. </w:t>
            </w:r>
          </w:p>
          <w:p w:rsidR="00F27DFC" w:rsidRDefault="00F27DFC" w:rsidP="005E3C9D">
            <w:pPr>
              <w:spacing w:before="40" w:after="40"/>
              <w:rPr>
                <w:rFonts w:ascii="Calibri" w:hAnsi="Calibri"/>
                <w:color w:val="auto"/>
                <w:sz w:val="22"/>
                <w:szCs w:val="22"/>
              </w:rPr>
            </w:pPr>
            <w:r>
              <w:rPr>
                <w:lang w:val="en-GB"/>
              </w:rPr>
              <w:t>”</w:t>
            </w:r>
          </w:p>
        </w:tc>
        <w:tc>
          <w:tcPr>
            <w:tcW w:w="1831" w:type="dxa"/>
          </w:tcPr>
          <w:p w:rsidR="00F27DFC" w:rsidRDefault="00F27DFC">
            <w:pPr>
              <w:spacing w:before="40" w:after="40"/>
              <w:rPr>
                <w:rFonts w:ascii="Calibri" w:hAnsi="Calibri"/>
                <w:color w:val="auto"/>
                <w:sz w:val="22"/>
                <w:szCs w:val="22"/>
              </w:rPr>
            </w:pPr>
            <w:r>
              <w:rPr>
                <w:rFonts w:ascii="Calibri" w:hAnsi="Calibri"/>
                <w:color w:val="auto"/>
                <w:sz w:val="22"/>
                <w:szCs w:val="22"/>
              </w:rPr>
              <w:t>5</w:t>
            </w:r>
          </w:p>
        </w:tc>
      </w:tr>
      <w:tr w:rsidR="00F27DFC" w:rsidTr="002279CA">
        <w:tc>
          <w:tcPr>
            <w:tcW w:w="2790"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lastRenderedPageBreak/>
              <w:t>Results of individual studies</w:t>
            </w:r>
          </w:p>
        </w:tc>
        <w:tc>
          <w:tcPr>
            <w:tcW w:w="54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20</w:t>
            </w:r>
          </w:p>
        </w:tc>
        <w:tc>
          <w:tcPr>
            <w:tcW w:w="8875" w:type="dxa"/>
          </w:tcPr>
          <w:p w:rsidR="00F27DFC" w:rsidRDefault="00F27DFC" w:rsidP="00C95E9D">
            <w:pPr>
              <w:spacing w:before="40" w:after="40"/>
              <w:rPr>
                <w:rFonts w:ascii="Calibri" w:hAnsi="Calibri"/>
                <w:bCs/>
                <w:color w:val="auto"/>
                <w:sz w:val="22"/>
                <w:szCs w:val="22"/>
              </w:rPr>
            </w:pPr>
            <w:r w:rsidRPr="001F4342">
              <w:rPr>
                <w:lang w:val="en-GB"/>
              </w:rPr>
              <w:t xml:space="preserve">The results </w:t>
            </w:r>
            <w:r>
              <w:rPr>
                <w:lang w:val="en-GB"/>
              </w:rPr>
              <w:t xml:space="preserve">of the individual studies are shown in </w:t>
            </w:r>
            <w:r w:rsidR="00C95E9D">
              <w:rPr>
                <w:lang w:val="en-GB"/>
              </w:rPr>
              <w:t>figures 2 and 3</w:t>
            </w:r>
            <w:r>
              <w:rPr>
                <w:lang w:val="en-GB"/>
              </w:rPr>
              <w:t>.</w:t>
            </w:r>
          </w:p>
        </w:tc>
        <w:tc>
          <w:tcPr>
            <w:tcW w:w="1831" w:type="dxa"/>
          </w:tcPr>
          <w:p w:rsidR="00F27DFC" w:rsidRDefault="00F27DFC">
            <w:pPr>
              <w:spacing w:before="40" w:after="40"/>
              <w:rPr>
                <w:rFonts w:ascii="Calibri" w:hAnsi="Calibri"/>
                <w:color w:val="auto"/>
                <w:sz w:val="22"/>
                <w:szCs w:val="22"/>
              </w:rPr>
            </w:pPr>
          </w:p>
        </w:tc>
      </w:tr>
      <w:tr w:rsidR="00F27DFC" w:rsidTr="002279CA">
        <w:tc>
          <w:tcPr>
            <w:tcW w:w="2790"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t xml:space="preserve">Synthesis of results </w:t>
            </w:r>
          </w:p>
        </w:tc>
        <w:tc>
          <w:tcPr>
            <w:tcW w:w="540" w:type="dxa"/>
          </w:tcPr>
          <w:p w:rsidR="00F27DFC" w:rsidRDefault="00F27DFC">
            <w:pPr>
              <w:tabs>
                <w:tab w:val="decimal" w:pos="295"/>
              </w:tabs>
              <w:spacing w:before="40" w:after="40"/>
              <w:rPr>
                <w:rFonts w:ascii="Calibri" w:hAnsi="Calibri"/>
                <w:bCs/>
                <w:color w:val="auto"/>
                <w:sz w:val="22"/>
                <w:szCs w:val="22"/>
                <w:highlight w:val="yellow"/>
              </w:rPr>
            </w:pPr>
            <w:r>
              <w:rPr>
                <w:rFonts w:ascii="Calibri" w:hAnsi="Calibri"/>
                <w:bCs/>
                <w:color w:val="auto"/>
                <w:sz w:val="22"/>
                <w:szCs w:val="22"/>
              </w:rPr>
              <w:t>21</w:t>
            </w:r>
          </w:p>
        </w:tc>
        <w:tc>
          <w:tcPr>
            <w:tcW w:w="8875" w:type="dxa"/>
          </w:tcPr>
          <w:p w:rsidR="00F27DFC" w:rsidRDefault="00F27DFC" w:rsidP="00D541D7">
            <w:pPr>
              <w:rPr>
                <w:lang w:val="en-GB"/>
              </w:rPr>
            </w:pPr>
            <w:r>
              <w:rPr>
                <w:lang w:val="en-GB"/>
              </w:rPr>
              <w:t>“</w:t>
            </w:r>
            <w:r w:rsidR="00CE756C" w:rsidRPr="00CE756C">
              <w:rPr>
                <w:lang w:val="en-GB"/>
              </w:rPr>
              <w:t xml:space="preserve">The primary efficacy endpoint of our study was the risk ratio of 50 % improvements in the ACR-treatment response criteria at six months between intervention and control group. Fourteen trials were included and of them 2 used </w:t>
            </w:r>
            <w:proofErr w:type="spellStart"/>
            <w:r w:rsidR="00CE756C" w:rsidRPr="00CE756C">
              <w:rPr>
                <w:lang w:val="en-GB"/>
              </w:rPr>
              <w:t>infliximab</w:t>
            </w:r>
            <w:proofErr w:type="spellEnd"/>
            <w:r w:rsidR="00CE756C" w:rsidRPr="00CE756C">
              <w:rPr>
                <w:lang w:val="en-GB"/>
              </w:rPr>
              <w:t xml:space="preserve">, 2 </w:t>
            </w:r>
            <w:proofErr w:type="spellStart"/>
            <w:r w:rsidR="00CE756C" w:rsidRPr="00CE756C">
              <w:rPr>
                <w:lang w:val="en-GB"/>
              </w:rPr>
              <w:t>etanercept</w:t>
            </w:r>
            <w:proofErr w:type="spellEnd"/>
            <w:r w:rsidR="00CE756C" w:rsidRPr="00CE756C">
              <w:rPr>
                <w:lang w:val="en-GB"/>
              </w:rPr>
              <w:t xml:space="preserve">, 5 </w:t>
            </w:r>
            <w:proofErr w:type="spellStart"/>
            <w:r w:rsidR="00CE756C" w:rsidRPr="00CE756C">
              <w:rPr>
                <w:lang w:val="en-GB"/>
              </w:rPr>
              <w:t>adalimumab</w:t>
            </w:r>
            <w:proofErr w:type="spellEnd"/>
            <w:r w:rsidR="00CE756C" w:rsidRPr="00CE756C">
              <w:rPr>
                <w:lang w:val="en-GB"/>
              </w:rPr>
              <w:t xml:space="preserve">, 2 </w:t>
            </w:r>
            <w:proofErr w:type="spellStart"/>
            <w:r w:rsidR="00CE756C" w:rsidRPr="00CE756C">
              <w:rPr>
                <w:lang w:val="en-GB"/>
              </w:rPr>
              <w:t>golimumab</w:t>
            </w:r>
            <w:proofErr w:type="spellEnd"/>
            <w:r w:rsidR="00CE756C" w:rsidRPr="00CE756C">
              <w:rPr>
                <w:lang w:val="en-GB"/>
              </w:rPr>
              <w:t xml:space="preserve"> and 3 </w:t>
            </w:r>
            <w:proofErr w:type="spellStart"/>
            <w:r w:rsidR="00CE756C" w:rsidRPr="00CE756C">
              <w:rPr>
                <w:lang w:val="en-GB"/>
              </w:rPr>
              <w:t>certolizumab</w:t>
            </w:r>
            <w:proofErr w:type="spellEnd"/>
            <w:r w:rsidR="00CE756C" w:rsidRPr="00CE756C">
              <w:rPr>
                <w:lang w:val="en-GB"/>
              </w:rPr>
              <w:t xml:space="preserve"> for intervention. As a group, TNF-blockers reached a risk ratio of 4.07 (95 % CI 2.70-6.13) regarding the achievement of the efficacy endpoint compared to controls. For </w:t>
            </w:r>
            <w:proofErr w:type="spellStart"/>
            <w:r w:rsidR="00CE756C" w:rsidRPr="00CE756C">
              <w:rPr>
                <w:lang w:val="en-GB"/>
              </w:rPr>
              <w:t>infliximab</w:t>
            </w:r>
            <w:proofErr w:type="spellEnd"/>
            <w:r w:rsidR="00CE756C" w:rsidRPr="00CE756C">
              <w:rPr>
                <w:lang w:val="en-GB"/>
              </w:rPr>
              <w:t xml:space="preserve">, </w:t>
            </w:r>
            <w:proofErr w:type="spellStart"/>
            <w:r w:rsidR="00CE756C" w:rsidRPr="00CE756C">
              <w:rPr>
                <w:lang w:val="en-GB"/>
              </w:rPr>
              <w:t>etanercept</w:t>
            </w:r>
            <w:proofErr w:type="spellEnd"/>
            <w:r w:rsidR="00CE756C" w:rsidRPr="00CE756C">
              <w:rPr>
                <w:lang w:val="en-GB"/>
              </w:rPr>
              <w:t xml:space="preserve">, </w:t>
            </w:r>
            <w:proofErr w:type="spellStart"/>
            <w:r w:rsidR="00CE756C" w:rsidRPr="00CE756C">
              <w:rPr>
                <w:lang w:val="en-GB"/>
              </w:rPr>
              <w:t>adalimumab</w:t>
            </w:r>
            <w:proofErr w:type="spellEnd"/>
            <w:r w:rsidR="00CE756C" w:rsidRPr="00CE756C">
              <w:rPr>
                <w:lang w:val="en-GB"/>
              </w:rPr>
              <w:t xml:space="preserve">, </w:t>
            </w:r>
            <w:proofErr w:type="spellStart"/>
            <w:r w:rsidR="00CE756C" w:rsidRPr="00CE756C">
              <w:rPr>
                <w:lang w:val="en-GB"/>
              </w:rPr>
              <w:t>golimumab</w:t>
            </w:r>
            <w:proofErr w:type="spellEnd"/>
            <w:r w:rsidR="00CE756C" w:rsidRPr="00CE756C">
              <w:rPr>
                <w:lang w:val="en-GB"/>
              </w:rPr>
              <w:t xml:space="preserve"> and </w:t>
            </w:r>
            <w:proofErr w:type="spellStart"/>
            <w:r w:rsidR="00CE756C" w:rsidRPr="00CE756C">
              <w:rPr>
                <w:lang w:val="en-GB"/>
              </w:rPr>
              <w:t>certolizumab</w:t>
            </w:r>
            <w:proofErr w:type="spellEnd"/>
            <w:r w:rsidR="00CE756C" w:rsidRPr="00CE756C">
              <w:rPr>
                <w:lang w:val="en-GB"/>
              </w:rPr>
              <w:t xml:space="preserve"> the corresponding figures were 3.08 (0.91-10.43), 8.61 (3.55-20.86), 4.34 (3.30-5.70), 1.56 (0.93-2.60) and 5.95 (3.97-8.92), respectively (figure 2)</w:t>
            </w:r>
            <w:proofErr w:type="gramStart"/>
            <w:r w:rsidR="00CE756C" w:rsidRPr="00CE756C">
              <w:rPr>
                <w:lang w:val="en-GB"/>
              </w:rPr>
              <w:t>.</w:t>
            </w:r>
            <w:r>
              <w:rPr>
                <w:lang w:val="en-GB"/>
              </w:rPr>
              <w:t>.</w:t>
            </w:r>
            <w:proofErr w:type="gramEnd"/>
            <w:r>
              <w:rPr>
                <w:lang w:val="en-GB"/>
              </w:rPr>
              <w:t xml:space="preserve"> </w:t>
            </w:r>
          </w:p>
          <w:p w:rsidR="00CE756C" w:rsidRPr="00CE756C" w:rsidRDefault="00F27DFC" w:rsidP="00CE756C">
            <w:pPr>
              <w:rPr>
                <w:lang w:val="en-GB"/>
              </w:rPr>
            </w:pPr>
            <w:r>
              <w:rPr>
                <w:lang w:val="en-GB"/>
              </w:rPr>
              <w:t>“</w:t>
            </w:r>
            <w:r w:rsidR="00CE756C" w:rsidRPr="00CE756C">
              <w:rPr>
                <w:lang w:val="en-GB"/>
              </w:rPr>
              <w:t xml:space="preserve">Significant heterogeneity was present in the first analysis comparing any intervention to any control. Heterogeneity diminished as the comparisons were stratified into smaller comparisons. </w:t>
            </w:r>
          </w:p>
          <w:p w:rsidR="00F27DFC" w:rsidRDefault="00F27DFC" w:rsidP="00D541D7">
            <w:pPr>
              <w:rPr>
                <w:lang w:val="en-GB"/>
              </w:rPr>
            </w:pPr>
            <w:r w:rsidRPr="00A01F8A">
              <w:rPr>
                <w:lang w:val="en-GB"/>
              </w:rPr>
              <w:t>.</w:t>
            </w:r>
            <w:r>
              <w:rPr>
                <w:lang w:val="en-GB"/>
              </w:rPr>
              <w:t>”</w:t>
            </w:r>
          </w:p>
          <w:p w:rsidR="00F27DFC" w:rsidRDefault="00F27DFC" w:rsidP="00D541D7">
            <w:pPr>
              <w:rPr>
                <w:lang w:val="en-GB"/>
              </w:rPr>
            </w:pPr>
          </w:p>
          <w:p w:rsidR="00CE756C" w:rsidRPr="00CE756C" w:rsidRDefault="00F27DFC" w:rsidP="00CE756C">
            <w:pPr>
              <w:rPr>
                <w:lang w:val="en-GB"/>
              </w:rPr>
            </w:pPr>
            <w:r>
              <w:rPr>
                <w:lang w:val="en-GB"/>
              </w:rPr>
              <w:t>“</w:t>
            </w:r>
            <w:r w:rsidR="00CE756C" w:rsidRPr="00CE756C">
              <w:rPr>
                <w:lang w:val="en-GB"/>
              </w:rPr>
              <w:t xml:space="preserve">The primary safety endpoint of the systematic review was the discontinuation of study due to adverse events. There were 25 studies with 6292 patients in the intervention and 2994 in the control group in this analysis (table </w:t>
            </w:r>
            <w:r w:rsidR="003902F4">
              <w:rPr>
                <w:lang w:val="en-GB"/>
              </w:rPr>
              <w:t>6</w:t>
            </w:r>
            <w:r w:rsidR="00CE756C" w:rsidRPr="00CE756C">
              <w:rPr>
                <w:lang w:val="en-GB"/>
              </w:rPr>
              <w:t xml:space="preserve">).  As a group, the TNF-blockers did not statistically significantly differ from the control (RR 1.26, CI 95% 0.93-1.71). While the patients on </w:t>
            </w:r>
            <w:proofErr w:type="spellStart"/>
            <w:r w:rsidR="00CE756C" w:rsidRPr="00CE756C">
              <w:rPr>
                <w:lang w:val="en-GB"/>
              </w:rPr>
              <w:t>infliximab</w:t>
            </w:r>
            <w:proofErr w:type="spellEnd"/>
            <w:r w:rsidR="00CE756C" w:rsidRPr="00CE756C">
              <w:rPr>
                <w:lang w:val="en-GB"/>
              </w:rPr>
              <w:t xml:space="preserve"> (3.22, 1.76-5.91), </w:t>
            </w:r>
            <w:proofErr w:type="spellStart"/>
            <w:r w:rsidR="00CE756C" w:rsidRPr="00CE756C">
              <w:rPr>
                <w:lang w:val="en-GB"/>
              </w:rPr>
              <w:t>adalimumab</w:t>
            </w:r>
            <w:proofErr w:type="spellEnd"/>
            <w:r w:rsidR="00CE756C" w:rsidRPr="00CE756C">
              <w:rPr>
                <w:lang w:val="en-GB"/>
              </w:rPr>
              <w:t xml:space="preserve"> (1.59, 1.13-2.23), and </w:t>
            </w:r>
            <w:proofErr w:type="spellStart"/>
            <w:r w:rsidR="00CE756C" w:rsidRPr="00CE756C">
              <w:rPr>
                <w:lang w:val="en-GB"/>
              </w:rPr>
              <w:t>certolizumab</w:t>
            </w:r>
            <w:proofErr w:type="spellEnd"/>
            <w:r w:rsidR="00CE756C" w:rsidRPr="00CE756C">
              <w:rPr>
                <w:lang w:val="en-GB"/>
              </w:rPr>
              <w:t xml:space="preserve"> (2.72, 1.23-6.01), had an increased risk to discontinue, the patients on </w:t>
            </w:r>
            <w:proofErr w:type="spellStart"/>
            <w:r w:rsidR="00CE756C" w:rsidRPr="00CE756C">
              <w:rPr>
                <w:lang w:val="en-GB"/>
              </w:rPr>
              <w:t>etanercept</w:t>
            </w:r>
            <w:proofErr w:type="spellEnd"/>
            <w:r w:rsidR="00CE756C" w:rsidRPr="00CE756C">
              <w:rPr>
                <w:lang w:val="en-GB"/>
              </w:rPr>
              <w:t xml:space="preserve"> (0.71, 0.54-0.92) had a decreased risk (figure 3). Patients using </w:t>
            </w:r>
            <w:proofErr w:type="spellStart"/>
            <w:r w:rsidR="00CE756C" w:rsidRPr="00CE756C">
              <w:rPr>
                <w:lang w:val="en-GB"/>
              </w:rPr>
              <w:t>certolizumab</w:t>
            </w:r>
            <w:proofErr w:type="spellEnd"/>
            <w:r w:rsidR="00CE756C" w:rsidRPr="00CE756C">
              <w:rPr>
                <w:lang w:val="en-GB"/>
              </w:rPr>
              <w:t xml:space="preserve"> had a higher risk to experience a serious adverse event than patients on </w:t>
            </w:r>
            <w:proofErr w:type="spellStart"/>
            <w:r w:rsidR="00CE756C" w:rsidRPr="00CE756C">
              <w:rPr>
                <w:lang w:val="en-GB"/>
              </w:rPr>
              <w:t>etanercept</w:t>
            </w:r>
            <w:proofErr w:type="spellEnd"/>
            <w:r w:rsidR="00CE756C" w:rsidRPr="00CE756C">
              <w:rPr>
                <w:lang w:val="en-GB"/>
              </w:rPr>
              <w:t xml:space="preserve"> with risk ratios of 2.24 (1.38-3.63) and 0.90 (0.68-1.20), respectively. </w:t>
            </w:r>
            <w:proofErr w:type="spellStart"/>
            <w:r w:rsidR="00CE756C" w:rsidRPr="00CE756C">
              <w:rPr>
                <w:lang w:val="en-GB"/>
              </w:rPr>
              <w:t>Infliximab</w:t>
            </w:r>
            <w:proofErr w:type="spellEnd"/>
            <w:r w:rsidR="00CE756C" w:rsidRPr="00CE756C">
              <w:rPr>
                <w:lang w:val="en-GB"/>
              </w:rPr>
              <w:t xml:space="preserve">, </w:t>
            </w:r>
            <w:proofErr w:type="spellStart"/>
            <w:r w:rsidR="00CE756C" w:rsidRPr="00CE756C">
              <w:rPr>
                <w:lang w:val="en-GB"/>
              </w:rPr>
              <w:t>etanercept</w:t>
            </w:r>
            <w:proofErr w:type="spellEnd"/>
            <w:r w:rsidR="00CE756C" w:rsidRPr="00CE756C">
              <w:rPr>
                <w:lang w:val="en-GB"/>
              </w:rPr>
              <w:t xml:space="preserve"> and </w:t>
            </w:r>
            <w:proofErr w:type="spellStart"/>
            <w:r w:rsidR="00CE756C" w:rsidRPr="00CE756C">
              <w:rPr>
                <w:lang w:val="en-GB"/>
              </w:rPr>
              <w:t>golimumab</w:t>
            </w:r>
            <w:proofErr w:type="spellEnd"/>
            <w:r w:rsidR="00CE756C" w:rsidRPr="00CE756C">
              <w:rPr>
                <w:lang w:val="en-GB"/>
              </w:rPr>
              <w:t xml:space="preserve"> increased the likelihood of an injection or infusion reaction while </w:t>
            </w:r>
            <w:proofErr w:type="spellStart"/>
            <w:r w:rsidR="00CE756C" w:rsidRPr="00CE756C">
              <w:rPr>
                <w:lang w:val="en-GB"/>
              </w:rPr>
              <w:t>adalimumab</w:t>
            </w:r>
            <w:proofErr w:type="spellEnd"/>
            <w:r w:rsidR="00CE756C" w:rsidRPr="00CE756C">
              <w:rPr>
                <w:lang w:val="en-GB"/>
              </w:rPr>
              <w:t xml:space="preserve"> and </w:t>
            </w:r>
            <w:proofErr w:type="spellStart"/>
            <w:r w:rsidR="00CE756C" w:rsidRPr="00CE756C">
              <w:rPr>
                <w:lang w:val="en-GB"/>
              </w:rPr>
              <w:t>certolizumab</w:t>
            </w:r>
            <w:proofErr w:type="spellEnd"/>
            <w:r w:rsidR="00CE756C" w:rsidRPr="00CE756C">
              <w:rPr>
                <w:lang w:val="en-GB"/>
              </w:rPr>
              <w:t xml:space="preserve"> did not statistically significantly differ from the controls in this </w:t>
            </w:r>
            <w:r w:rsidR="00CE756C" w:rsidRPr="00CE756C">
              <w:rPr>
                <w:lang w:val="en-GB"/>
              </w:rPr>
              <w:lastRenderedPageBreak/>
              <w:t xml:space="preserve">respect although their risk ratios leaned to the same direction. </w:t>
            </w:r>
          </w:p>
          <w:p w:rsidR="00F27DFC" w:rsidRDefault="00F27DFC" w:rsidP="00D541D7">
            <w:pPr>
              <w:rPr>
                <w:lang w:val="en-GB"/>
              </w:rPr>
            </w:pPr>
          </w:p>
          <w:p w:rsidR="00F27DFC" w:rsidRPr="001F4342" w:rsidRDefault="00F27DFC" w:rsidP="003902F4">
            <w:pPr>
              <w:rPr>
                <w:lang w:val="en-GB"/>
              </w:rPr>
            </w:pPr>
            <w:r>
              <w:rPr>
                <w:lang w:val="en-GB"/>
              </w:rPr>
              <w:t xml:space="preserve">In addition to the primary outcome measures, efficacy and safety were analysed in six comparisons (tables </w:t>
            </w:r>
            <w:r w:rsidR="003902F4">
              <w:rPr>
                <w:lang w:val="en-GB"/>
              </w:rPr>
              <w:t>2</w:t>
            </w:r>
            <w:r>
              <w:rPr>
                <w:lang w:val="en-GB"/>
              </w:rPr>
              <w:t>-</w:t>
            </w:r>
            <w:r w:rsidR="003902F4">
              <w:rPr>
                <w:lang w:val="en-GB"/>
              </w:rPr>
              <w:t>6</w:t>
            </w:r>
            <w:r>
              <w:rPr>
                <w:lang w:val="en-GB"/>
              </w:rPr>
              <w:t xml:space="preserve">). </w:t>
            </w:r>
          </w:p>
        </w:tc>
        <w:tc>
          <w:tcPr>
            <w:tcW w:w="1831" w:type="dxa"/>
          </w:tcPr>
          <w:p w:rsidR="00F27DFC" w:rsidRDefault="00F27DFC">
            <w:pPr>
              <w:spacing w:before="40" w:after="40"/>
              <w:rPr>
                <w:rFonts w:ascii="Calibri" w:hAnsi="Calibri"/>
                <w:color w:val="auto"/>
                <w:sz w:val="22"/>
                <w:szCs w:val="22"/>
              </w:rPr>
            </w:pPr>
            <w:r>
              <w:rPr>
                <w:rFonts w:ascii="Calibri" w:hAnsi="Calibri"/>
                <w:color w:val="auto"/>
                <w:sz w:val="22"/>
                <w:szCs w:val="22"/>
              </w:rPr>
              <w:lastRenderedPageBreak/>
              <w:t>5-8</w:t>
            </w:r>
          </w:p>
        </w:tc>
      </w:tr>
      <w:tr w:rsidR="00F27DFC" w:rsidTr="002279CA">
        <w:tc>
          <w:tcPr>
            <w:tcW w:w="2790" w:type="dxa"/>
          </w:tcPr>
          <w:p w:rsidR="00F27DFC" w:rsidRDefault="00F27DFC">
            <w:pPr>
              <w:spacing w:before="40" w:after="40"/>
              <w:rPr>
                <w:rFonts w:ascii="Calibri" w:hAnsi="Calibri"/>
                <w:bCs/>
                <w:color w:val="auto"/>
                <w:sz w:val="22"/>
                <w:szCs w:val="22"/>
              </w:rPr>
            </w:pPr>
            <w:r>
              <w:rPr>
                <w:rFonts w:ascii="Calibri" w:hAnsi="Calibri"/>
                <w:bCs/>
                <w:color w:val="auto"/>
                <w:sz w:val="22"/>
                <w:szCs w:val="22"/>
              </w:rPr>
              <w:lastRenderedPageBreak/>
              <w:t>Risk of bias across studies</w:t>
            </w:r>
          </w:p>
        </w:tc>
        <w:tc>
          <w:tcPr>
            <w:tcW w:w="54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22</w:t>
            </w:r>
          </w:p>
        </w:tc>
        <w:tc>
          <w:tcPr>
            <w:tcW w:w="8875" w:type="dxa"/>
          </w:tcPr>
          <w:p w:rsidR="00F27DFC" w:rsidRPr="001F4342" w:rsidRDefault="00F27DFC" w:rsidP="00D541D7">
            <w:pPr>
              <w:rPr>
                <w:lang w:val="en-GB"/>
              </w:rPr>
            </w:pPr>
            <w:r>
              <w:rPr>
                <w:lang w:val="en-GB"/>
              </w:rPr>
              <w:t>Risk of bias across studies was not formally assessed.</w:t>
            </w:r>
          </w:p>
        </w:tc>
        <w:tc>
          <w:tcPr>
            <w:tcW w:w="1831" w:type="dxa"/>
          </w:tcPr>
          <w:p w:rsidR="00F27DFC" w:rsidRDefault="00F27DFC">
            <w:pPr>
              <w:spacing w:before="40" w:after="40"/>
              <w:rPr>
                <w:rFonts w:ascii="Calibri" w:hAnsi="Calibri"/>
                <w:color w:val="auto"/>
                <w:sz w:val="22"/>
                <w:szCs w:val="22"/>
              </w:rPr>
            </w:pPr>
          </w:p>
        </w:tc>
      </w:tr>
      <w:tr w:rsidR="00F27DFC" w:rsidTr="002279CA">
        <w:tc>
          <w:tcPr>
            <w:tcW w:w="2790" w:type="dxa"/>
            <w:tcBorders>
              <w:bottom w:val="double" w:sz="4" w:space="0" w:color="auto"/>
            </w:tcBorders>
          </w:tcPr>
          <w:p w:rsidR="00F27DFC" w:rsidRDefault="00F27DFC">
            <w:pPr>
              <w:spacing w:before="40" w:after="40"/>
              <w:rPr>
                <w:rFonts w:ascii="Calibri" w:hAnsi="Calibri"/>
                <w:bCs/>
                <w:color w:val="auto"/>
                <w:sz w:val="22"/>
                <w:szCs w:val="22"/>
              </w:rPr>
            </w:pPr>
            <w:r>
              <w:rPr>
                <w:rFonts w:ascii="Calibri" w:hAnsi="Calibri"/>
                <w:bCs/>
                <w:color w:val="auto"/>
                <w:sz w:val="22"/>
                <w:szCs w:val="22"/>
              </w:rPr>
              <w:t>Additional analysis</w:t>
            </w:r>
          </w:p>
        </w:tc>
        <w:tc>
          <w:tcPr>
            <w:tcW w:w="540" w:type="dxa"/>
            <w:tcBorders>
              <w:bottom w:val="double" w:sz="4" w:space="0" w:color="auto"/>
            </w:tcBorders>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23</w:t>
            </w:r>
          </w:p>
        </w:tc>
        <w:tc>
          <w:tcPr>
            <w:tcW w:w="8875" w:type="dxa"/>
            <w:tcBorders>
              <w:bottom w:val="double" w:sz="4" w:space="0" w:color="auto"/>
            </w:tcBorders>
          </w:tcPr>
          <w:p w:rsidR="00F27DFC" w:rsidRDefault="00F27DFC" w:rsidP="00D541D7">
            <w:pPr>
              <w:rPr>
                <w:lang w:val="en-GB"/>
              </w:rPr>
            </w:pPr>
            <w:r>
              <w:rPr>
                <w:lang w:val="en-GB"/>
              </w:rPr>
              <w:t>“</w:t>
            </w:r>
            <w:r w:rsidR="00CE756C" w:rsidRPr="00CE756C">
              <w:rPr>
                <w:lang w:val="en-GB"/>
              </w:rPr>
              <w:t>The sensitivity analyses based on the results of the bias assessments did not reveal any statistically significant bias on the efficacy results. Occasionally, however, the statistical significance between intervention and control groups disappeared due to reduced number of studies. In the sensitivity analyses, the estimate of the risk ratio decreased, increased or remained the same in 52%, 45% and 3% of cases, respectively. In some cases there were no clearly unbiased RCTs in a comparison, thus making it impossible to perform the sensitivity analysis</w:t>
            </w:r>
            <w:proofErr w:type="gramStart"/>
            <w:r w:rsidR="00CE756C" w:rsidRPr="00CE756C">
              <w:rPr>
                <w:lang w:val="en-GB"/>
              </w:rPr>
              <w:t>.</w:t>
            </w:r>
            <w:r>
              <w:rPr>
                <w:lang w:val="en-GB"/>
              </w:rPr>
              <w:t>.”</w:t>
            </w:r>
            <w:proofErr w:type="gramEnd"/>
            <w:r>
              <w:rPr>
                <w:lang w:val="en-GB"/>
              </w:rPr>
              <w:t xml:space="preserve"> </w:t>
            </w:r>
          </w:p>
          <w:p w:rsidR="00CE756C" w:rsidRPr="00CE756C" w:rsidRDefault="00F27DFC" w:rsidP="00CE756C">
            <w:pPr>
              <w:rPr>
                <w:lang w:val="en-GB"/>
              </w:rPr>
            </w:pPr>
            <w:r>
              <w:rPr>
                <w:lang w:val="en-GB"/>
              </w:rPr>
              <w:t>“</w:t>
            </w:r>
            <w:r w:rsidR="00CE756C" w:rsidRPr="00CE756C">
              <w:rPr>
                <w:lang w:val="en-GB"/>
              </w:rPr>
              <w:t>. Trials with low swollen joint count and low HAQ score had risk ratios of 3.43 (CI 95% 2.03-5.78) and 3.68 (2.11-6.42), respectively, whereas trials with high swollen joint count and high HAQ score had risk ratios of 5.15 (2.72 – 9.75) and 4.64 (2.59-8.31), respectively.</w:t>
            </w:r>
          </w:p>
          <w:p w:rsidR="00F27DFC" w:rsidRDefault="00F27DFC" w:rsidP="00D541D7">
            <w:pPr>
              <w:rPr>
                <w:lang w:val="en-GB"/>
              </w:rPr>
            </w:pPr>
            <w:r>
              <w:rPr>
                <w:lang w:val="en-GB"/>
              </w:rPr>
              <w:t>”</w:t>
            </w:r>
          </w:p>
          <w:p w:rsidR="00F27DFC" w:rsidRDefault="00F27DFC" w:rsidP="00D541D7">
            <w:pPr>
              <w:rPr>
                <w:lang w:val="en-GB"/>
              </w:rPr>
            </w:pPr>
            <w:r>
              <w:rPr>
                <w:lang w:val="en-GB"/>
              </w:rPr>
              <w:t xml:space="preserve">Additionally, several post-hoc subgroup analyses were performed. </w:t>
            </w:r>
          </w:p>
          <w:p w:rsidR="00F27DFC" w:rsidRDefault="00F27DFC" w:rsidP="00D541D7">
            <w:pPr>
              <w:rPr>
                <w:lang w:val="en-GB"/>
              </w:rPr>
            </w:pPr>
            <w:r>
              <w:rPr>
                <w:lang w:val="en-GB"/>
              </w:rPr>
              <w:t>“</w:t>
            </w:r>
            <w:r w:rsidR="00CE756C" w:rsidRPr="00CE756C">
              <w:rPr>
                <w:lang w:val="en-GB"/>
              </w:rPr>
              <w:t xml:space="preserve">Patients on either </w:t>
            </w:r>
            <w:proofErr w:type="spellStart"/>
            <w:r w:rsidR="00CE756C" w:rsidRPr="00CE756C">
              <w:rPr>
                <w:lang w:val="en-GB"/>
              </w:rPr>
              <w:t>infliximab</w:t>
            </w:r>
            <w:proofErr w:type="spellEnd"/>
            <w:r w:rsidR="00CE756C" w:rsidRPr="00CE756C">
              <w:rPr>
                <w:lang w:val="en-GB"/>
              </w:rPr>
              <w:t xml:space="preserve"> or </w:t>
            </w:r>
            <w:proofErr w:type="spellStart"/>
            <w:r w:rsidR="00CE756C" w:rsidRPr="00CE756C">
              <w:rPr>
                <w:lang w:val="en-GB"/>
              </w:rPr>
              <w:t>adalimumab</w:t>
            </w:r>
            <w:proofErr w:type="spellEnd"/>
            <w:r w:rsidR="00CE756C" w:rsidRPr="00CE756C">
              <w:rPr>
                <w:lang w:val="en-GB"/>
              </w:rPr>
              <w:t xml:space="preserve"> with disease duration more than 2 years were more likely to reach ACR 20, 50 and 70 at 12 months compared to controls than patients with disease durat</w:t>
            </w:r>
            <w:r w:rsidR="003902F4">
              <w:rPr>
                <w:lang w:val="en-GB"/>
              </w:rPr>
              <w:t>ion less than two years (table 2</w:t>
            </w:r>
            <w:r w:rsidR="00CE756C" w:rsidRPr="00CE756C">
              <w:rPr>
                <w:lang w:val="en-GB"/>
              </w:rPr>
              <w:t xml:space="preserve">).  </w:t>
            </w:r>
            <w:r w:rsidRPr="00A01F8A">
              <w:rPr>
                <w:lang w:val="en-GB"/>
              </w:rPr>
              <w:t xml:space="preserve"> </w:t>
            </w:r>
            <w:r>
              <w:rPr>
                <w:lang w:val="en-GB"/>
              </w:rPr>
              <w:t>”</w:t>
            </w:r>
            <w:r w:rsidR="00CE756C" w:rsidRPr="00CE756C">
              <w:rPr>
                <w:rFonts w:ascii="Times New Roman" w:hAnsi="Times New Roman"/>
                <w:color w:val="auto"/>
                <w:w w:val="100"/>
                <w:lang w:val="en-GB"/>
              </w:rPr>
              <w:t xml:space="preserve"> </w:t>
            </w:r>
            <w:r w:rsidR="00CE756C" w:rsidRPr="00CE756C">
              <w:rPr>
                <w:lang w:val="en-GB"/>
              </w:rPr>
              <w:t>At six months patients previously naïve to MTX are statistically significantly less likely to reach either ACR 20, 50 or 70 treatment responses compared to patients who had already been previously treated with MTX</w:t>
            </w:r>
            <w:r>
              <w:rPr>
                <w:lang w:val="en-GB"/>
              </w:rPr>
              <w:t>”</w:t>
            </w:r>
          </w:p>
          <w:p w:rsidR="00F27DFC" w:rsidRDefault="00F27DFC" w:rsidP="00D541D7">
            <w:pPr>
              <w:rPr>
                <w:lang w:val="en-GB"/>
              </w:rPr>
            </w:pPr>
            <w:r>
              <w:rPr>
                <w:lang w:val="en-GB"/>
              </w:rPr>
              <w:t>“</w:t>
            </w:r>
            <w:r w:rsidR="00CE756C" w:rsidRPr="00CE756C">
              <w:rPr>
                <w:lang w:val="en-GB"/>
              </w:rPr>
              <w:t xml:space="preserve">In a </w:t>
            </w:r>
            <w:proofErr w:type="spellStart"/>
            <w:r w:rsidR="00CE756C" w:rsidRPr="00CE756C">
              <w:rPr>
                <w:lang w:val="en-GB"/>
              </w:rPr>
              <w:t>subanalysis</w:t>
            </w:r>
            <w:proofErr w:type="spellEnd"/>
            <w:r w:rsidR="00CE756C" w:rsidRPr="00CE756C">
              <w:rPr>
                <w:lang w:val="en-GB"/>
              </w:rPr>
              <w:t xml:space="preserve"> of trials with patients who had previously used MTX, the results were similar. In comparison to MTX, </w:t>
            </w:r>
            <w:proofErr w:type="spellStart"/>
            <w:r w:rsidR="00CE756C" w:rsidRPr="00CE756C">
              <w:rPr>
                <w:lang w:val="en-GB"/>
              </w:rPr>
              <w:t>golimumab</w:t>
            </w:r>
            <w:proofErr w:type="spellEnd"/>
            <w:r w:rsidR="00CE756C" w:rsidRPr="00CE756C">
              <w:rPr>
                <w:lang w:val="en-GB"/>
              </w:rPr>
              <w:t xml:space="preserve"> combination therapy was still inferior in ACR 20 efficacy at 6 months to </w:t>
            </w:r>
            <w:proofErr w:type="spellStart"/>
            <w:r w:rsidR="00CE756C" w:rsidRPr="00CE756C">
              <w:rPr>
                <w:lang w:val="en-GB"/>
              </w:rPr>
              <w:t>certolizumab</w:t>
            </w:r>
            <w:proofErr w:type="spellEnd"/>
            <w:r w:rsidR="00CE756C" w:rsidRPr="00CE756C">
              <w:rPr>
                <w:lang w:val="en-GB"/>
              </w:rPr>
              <w:t xml:space="preserve"> combination therapy, with risk ratios of 2.14 (1.59-2.89) and 5.08 (3.46-7.48), </w:t>
            </w:r>
            <w:r w:rsidR="00CE756C" w:rsidRPr="00CE756C">
              <w:rPr>
                <w:lang w:val="en-GB"/>
              </w:rPr>
              <w:lastRenderedPageBreak/>
              <w:t>respectively</w:t>
            </w:r>
            <w:proofErr w:type="gramStart"/>
            <w:r w:rsidR="00CE756C" w:rsidRPr="00CE756C">
              <w:rPr>
                <w:lang w:val="en-GB"/>
              </w:rPr>
              <w:t>.</w:t>
            </w:r>
            <w:r w:rsidR="00CE756C">
              <w:rPr>
                <w:lang w:val="en-GB"/>
              </w:rPr>
              <w:t>“</w:t>
            </w:r>
            <w:proofErr w:type="gramEnd"/>
            <w:r w:rsidR="00CE756C" w:rsidRPr="00CE756C">
              <w:rPr>
                <w:lang w:val="en-GB"/>
              </w:rPr>
              <w:t>At six months patients previously naïve to MTX are statistically significantly less likely to reach either ACR 20, 50 or 70 treatment responses compared to patients who had already been previously treated with MTX</w:t>
            </w:r>
            <w:r w:rsidR="00CE756C">
              <w:rPr>
                <w:lang w:val="en-GB"/>
              </w:rPr>
              <w:t>”</w:t>
            </w:r>
            <w:r w:rsidR="00CE756C" w:rsidRPr="00CE756C">
              <w:rPr>
                <w:lang w:val="en-GB"/>
              </w:rPr>
              <w:t>.</w:t>
            </w:r>
            <w:r>
              <w:rPr>
                <w:lang w:val="en-GB"/>
              </w:rPr>
              <w:t>”</w:t>
            </w:r>
          </w:p>
          <w:p w:rsidR="00F27DFC" w:rsidRPr="001F4342" w:rsidRDefault="00F27DFC" w:rsidP="00CE756C">
            <w:pPr>
              <w:rPr>
                <w:lang w:val="en-GB"/>
              </w:rPr>
            </w:pPr>
            <w:r>
              <w:rPr>
                <w:lang w:val="en-GB"/>
              </w:rPr>
              <w:t>“</w:t>
            </w:r>
            <w:r w:rsidRPr="00375004">
              <w:rPr>
                <w:lang w:val="en-GB"/>
              </w:rPr>
              <w:t xml:space="preserve">Stratifying RTCs by previous exposure to MTX does not show any statistically significant differences in the treatment response to TNF-blocker </w:t>
            </w:r>
            <w:proofErr w:type="spellStart"/>
            <w:r w:rsidRPr="00375004">
              <w:rPr>
                <w:lang w:val="en-GB"/>
              </w:rPr>
              <w:t>monotherapy</w:t>
            </w:r>
            <w:proofErr w:type="spellEnd"/>
            <w:r w:rsidRPr="00375004">
              <w:rPr>
                <w:lang w:val="en-GB"/>
              </w:rPr>
              <w:t xml:space="preserve"> between these two groups</w:t>
            </w:r>
            <w:r w:rsidR="00CE756C">
              <w:rPr>
                <w:lang w:val="en-GB"/>
              </w:rPr>
              <w:t>.</w:t>
            </w:r>
          </w:p>
        </w:tc>
        <w:tc>
          <w:tcPr>
            <w:tcW w:w="1831" w:type="dxa"/>
            <w:tcBorders>
              <w:bottom w:val="double" w:sz="4" w:space="0" w:color="auto"/>
            </w:tcBorders>
          </w:tcPr>
          <w:p w:rsidR="00F27DFC" w:rsidRDefault="00F27DFC">
            <w:pPr>
              <w:spacing w:before="40" w:after="40"/>
              <w:rPr>
                <w:rFonts w:ascii="Calibri" w:hAnsi="Calibri"/>
                <w:bCs/>
                <w:color w:val="auto"/>
                <w:sz w:val="22"/>
                <w:szCs w:val="22"/>
              </w:rPr>
            </w:pPr>
            <w:r>
              <w:rPr>
                <w:rFonts w:ascii="Calibri" w:hAnsi="Calibri"/>
                <w:bCs/>
                <w:color w:val="auto"/>
                <w:sz w:val="22"/>
                <w:szCs w:val="22"/>
              </w:rPr>
              <w:lastRenderedPageBreak/>
              <w:t>5-6</w:t>
            </w:r>
          </w:p>
        </w:tc>
      </w:tr>
      <w:tr w:rsidR="00F27DFC" w:rsidTr="002279CA">
        <w:tc>
          <w:tcPr>
            <w:tcW w:w="14036" w:type="dxa"/>
            <w:gridSpan w:val="4"/>
            <w:tcBorders>
              <w:top w:val="double" w:sz="4" w:space="0" w:color="auto"/>
            </w:tcBorders>
            <w:shd w:val="clear" w:color="auto" w:fill="FFFFCC"/>
          </w:tcPr>
          <w:p w:rsidR="00F27DFC" w:rsidRDefault="00F27DFC">
            <w:pPr>
              <w:pStyle w:val="Otsikko9"/>
              <w:keepNext w:val="0"/>
              <w:tabs>
                <w:tab w:val="decimal" w:pos="295"/>
              </w:tabs>
              <w:spacing w:after="20"/>
              <w:rPr>
                <w:rFonts w:ascii="Calibri" w:hAnsi="Calibri"/>
                <w:color w:val="auto"/>
                <w:sz w:val="22"/>
                <w:szCs w:val="22"/>
              </w:rPr>
            </w:pPr>
            <w:r>
              <w:rPr>
                <w:rFonts w:ascii="Calibri" w:hAnsi="Calibri"/>
                <w:color w:val="auto"/>
                <w:sz w:val="22"/>
                <w:szCs w:val="22"/>
              </w:rPr>
              <w:lastRenderedPageBreak/>
              <w:t>DISCUSSION</w:t>
            </w:r>
          </w:p>
        </w:tc>
      </w:tr>
      <w:tr w:rsidR="00F27DFC" w:rsidTr="002279CA">
        <w:tc>
          <w:tcPr>
            <w:tcW w:w="279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Summary of evidence</w:t>
            </w:r>
          </w:p>
        </w:tc>
        <w:tc>
          <w:tcPr>
            <w:tcW w:w="54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24</w:t>
            </w:r>
          </w:p>
        </w:tc>
        <w:tc>
          <w:tcPr>
            <w:tcW w:w="8875" w:type="dxa"/>
          </w:tcPr>
          <w:p w:rsidR="00CB3924" w:rsidRPr="00CB3924" w:rsidRDefault="00F27DFC" w:rsidP="00CB3924">
            <w:pPr>
              <w:rPr>
                <w:lang w:val="en-GB"/>
              </w:rPr>
            </w:pPr>
            <w:r>
              <w:rPr>
                <w:lang w:val="en-GB"/>
              </w:rPr>
              <w:t>“</w:t>
            </w:r>
            <w:r w:rsidR="00CB3924" w:rsidRPr="00CB3924">
              <w:rPr>
                <w:lang w:val="en-GB"/>
              </w:rPr>
              <w:t xml:space="preserve">Our systematic literature search identified 40 publications reporting 26 randomized controlled trials studying the efficacy and safety of TNF-blockers. The included trials were published 1999-2010. Five trials published used </w:t>
            </w:r>
            <w:proofErr w:type="spellStart"/>
            <w:r w:rsidR="00CB3924" w:rsidRPr="00CB3924">
              <w:rPr>
                <w:lang w:val="en-GB"/>
              </w:rPr>
              <w:t>infliximab</w:t>
            </w:r>
            <w:proofErr w:type="spellEnd"/>
            <w:r w:rsidR="00CB3924" w:rsidRPr="00CB3924">
              <w:rPr>
                <w:lang w:val="en-GB"/>
              </w:rPr>
              <w:t xml:space="preserve"> </w:t>
            </w:r>
            <w:r w:rsidR="00BB0325" w:rsidRPr="00CB3924">
              <w:rPr>
                <w:lang w:val="en-GB"/>
              </w:rPr>
              <w:fldChar w:fldCharType="begin" w:fldLock="1"/>
            </w:r>
            <w:r w:rsidR="00CB3924" w:rsidRPr="00CB3924">
              <w:rPr>
                <w:lang w:val="en-GB"/>
              </w:rPr>
              <w:instrText xml:space="preserve">ADDIN Mendeley Citation{7f7d39e3-7953-44b3-8b8a-fde9c5403ab4};{fb2e9ce3-52bc-4bb8-ac29-cc1fa3701b1f};{1c1d9cef-d472-4851-8b24-1eea5f755b57};{9a5468f3-ffda-49c6-aeb9-94d8f3f21fa6};{e56d3a46-8631-4995-a291-fbb04f117fc9};{6b88a887-a39c-4daf-860f-199c4a08c211};{8a301a90-6f43-4aa2-a6a1-82b3853c39d7};{f6963e18-8bc8-4359-aac7-ef25f66fc183};{78370ead-985c-4841-a405-e42550ac973b};{aa43efae-2fdd-49fe-9dde-b6a18fbab0a6};{fec48ce1-c994-4be1-816b-0d445baf9281} CSL_CITATION  { "citationItems" : [ { "id" : "ITEM-1", "itemData" : { "abstract" : "OBJECTIVE: A placebo controlled, double-blind trial (DBT) was conducted for Japanese patients with active rheumatoid arthritis (RA) despite treatment with low dose methotrexate (MTX) to evaluate the efficacy and safety of infliximab. Extended treatment with infliximab was conducted in an open-label trial (OLT). METHODS: In the DBT, 147 patients were randomly assigned and treated with a placebo or 3 mg/kg or 10 mg/kg infliximab at Weeks 0, 2 and 6, combined with MTX. In the OLT, 129 patients from the DBT received 3 mg/kg infliximab every 8 weeks. RESULTS: The mean dose of MTX was 7.2 +/- 2.0 mg/week. Significantly more patients receiving 3 mg/kg (61.2%) and 10 mg/kg (52.9%)infliximab achieved a 20% improvement according to the American College of Rheumatology (ACR) criteria at Week 14, compared to placebo (23.4%) (p \u003c 0.001). There was no significant difference in incidence of adverse events among the treatment groups. In patients receiving infliximab in the DBT, 11.6% of patients with serum infliximab just before the OLT developed antibodies to infliximab (ATI) in the OLT, whereas 62.2% of patients without serum infliximab did. In patients receiving placebo in the DBT, 43.9% developed ATI. CONCLUSION: The efficacy and safety of infliximab combined with low dose MTX were similar to those of the ATTRACT study. The data from the DBT and OLT also supported the importance of an induction treatment of infliximab, followed by a maintenance treatment without a long interval, giving stable serum concentrations in order to prevent formation of ATI.", "author" : [ { "family" : "Abe", "given" : "Tohru" }, { "family" : "Takeuchi", "given" : "Tsutomu" }, { "family" : "Miyasaka", "given" : "Nobuyuki" }, { "family" : "Hashimoto", "given" : "Hiroshi" }, { "family" : "Kondo", "given" : "Hirobumi" }, { "family" : "Ichikawa", "given" : "Y" }, { "family" : "Nagaya", "given" : "I" } ], "container-title" : "Journal of Rheumatology", "id" : "ITEM-1", "issue" : "1", "issued" : { "date-parts" : [ [ "2006" ] ] }, "note" : "\u003cm:note\u003e\n        \u003cm:bold\u003eFrom Duplicate 1 ( \u003c/m:bold\u003e\n        \u003cm:bold/\u003e\n        \u003cm:bold\u003e\n          \u003cm:italic\u003eA multicenter, double-blind, randomized, placebo controlled trial of infliximab combined with low dose methotrexate in Japanese patients with rheumatoid arthritis.\u003c/m:italic\u003e\n        \u003c/m:bold\u003e\n        \u003cm:bold/\u003e\n        \u003cm:bold\u003e - Abe, T; Takeuchi, T; Miyasaka, N; Hashimoto, H; Kondo, H; Ichikawa, Y; Nagaya, I )\u003cm:linebreak/\u003e\n        \u003c/m:bold\u003e\n        \u003cm:linebreak/\u003eOBJECTIVE: A placebo controlled, double-blind trial (DBT) was conducted for Japanese patients with active rheumatoid arthritis (RA) despite treatment with low dose methotrexate (MTX) to evaluate the efficacy and safety of infliximab. Extended treatment with infliximab was conducted in an open-label trial (OLT). METHODS: In the DBT, 147 patients were randomly assigned and treated with a placebo or 3 mg/kg or 10 mg/kg infliximab at Weeks 0, 2 and 6, combined with MTX. In the OLT, 129 patients from the DBT received 3 mg/kg infliximab every 8 weeks. RESULTS: The mean dose of MTX was 7.2 +/- 2.0 mg/week. Significantly more patients receiving 3 mg/kg (61.2%) and 10 mg/kg (52.9%)infliximab achieved a 20% improvement according to the American College of Rheumatology (ACR) criteria at Week 14, compared to placebo (23.4%) (p \u003cm:linebreak/\u003e\n        \u003cm:linebreak/\u003e\n      \u003c/m:note\u003e", "page" : "37-44", "publisher-place" : "Saitama Medical Center and the Second Department of Internal Medicine, Saitama Medical Center, Saitama Medical School, Kawagoe, Japan.", "title" : "A multicenter, double-blind, randomized, placebo controlled trial of infliximab combined with low dose methotrexate in Japanese patients with rheumatoid arthritis.", "type" : "article-journal", "volume" : "33" }, "uris" : [ "http://www.mendeley.com/documents/?uuid=7f7d39e3-7953-44b3-8b8a-fde9c5403ab4" ] }, { "id" : "ITEM-2", "itemData" : { "author" : [ { "family" : "Bessette", "given" : "Louis" }, { "family" : "Schiff", "given" : "Michael H" }, { "family" : "Kieserman", "given" : "Mauro" } ], "container-title" : "The Journal of rheumatology", "id" : "ITEM-2", "issue" : "7", "issued" : { "date-parts" : [ [ "2007", "12" ] ] }, "note" : "\u003cm:note/\u003e", "page" : "1627", "title" : "The efficacy and safety of abatacept or infliximab in ra patients with an inadequate response to mtx: results from a 1-year double-blind, randomized, placebo-controlled trial", "type" : "article-journal", "volume" : "34" }, "uris" : [ "http://www.mendeley.com/documents/?uuid=fb2e9ce3-52bc-4bb8-ac29-cc1fa3701b1f" ] }, { "id" : "ITEM-3", "itemData" : { "DOI" : "10.1016/S0167-5699(99)01552-2", "author" : [ { "family" : "Lipsky", "given" : "P E" }, { "family" : "van der Heijde", "given" : "D\u00e9sir\u00e9e" }, { "family" : "St. Clair", "given" : "William" }, { "family" : "Furst", "given" : "Daniel E" }, { "family" : "Breedveld", "given" : "Ferdinand C" }, { "family" : "Kalden", "given" : "Joachim R" }, { "family" : "Smolen", "given" : "Josef S" }, { "family" : "Weisman", "given" : "Michael H" }, { "family" : "Emery", "given" : "Paul" }, { "family" : "Feldmann", "given" : "Marc" }, { "family" : "Harrimann", "given" : "Gregory" }, { "family" : "Maini", "given" : "Ravinder N" } ], "container-title" : "The New England journal of medicine", "id" : "ITEM-3", "issue" : "22", "issued" : { "date-parts" : [ [ "2000", "2", "1" ] ] }, "note" : "\u003cm:note/\u003e", "page" : "1594-1602", "title" : "Infliximab and methotrexate in the treatment of rheumatoid arthritis", "type" : "article-journal", "volume" : "343" }, "uris" : [ "http://www.mendeley.com/documents/?uuid=1c1d9cef-d472-4851-8b24-1eea5f755b57" ] }, { "id" : "ITEM-4", "itemData" : { "DOI" : "10.1002/art.20159", "author" : [ { "family" : "Maini", "given" : "R N" }, { "family" : "Breedveld", "given" : "F C" }, { "family" : "Kalden", "given" : "J R" }, { "family" : "Smolen", "given" : "J S" }, { "family" : "Furst", "given" : "D" }, { "family" : "Weisman", "given" : "M H" }, { "family" : "St Clair", "given" : "E W" }, { "family" : "Keenan", "given" : "G F" }, { "family" : "van der Heijde", "given" : "D" }, { "family" : "Marsters", "given" : "P a" }, { "family" : "Lipsky", "given" : "P E" } ], "container-title" : "Arthritis and rheumatism", "id" : "ITEM-4", "issue" : "4", "issued" : { "date-parts" : [ [ "2004", "4" ] ] }, "page" : "1051-65", "title" : "Sustained improvement over two years in physical function, structural damage, and signs and symptoms among patients with rheumatoid arthritis treated with infliximab and methotrexate.", "type" : "article-journal", "volume" : "50" }, "uris" : [ "http://www.mendeley.com/documents/?uuid=9a5468f3-ffda-49c6-aeb9-94d8f3f21fa6" ] }, { "id" : "ITEM-5", "itemData" : { "author" : [ { "family" : "Maini", "given" : "R" }, { "family" : "St Clair", "given" : "E W" }, { "family" : "Breedveld", "given" : "F" }, { "family" : "Furst", "given" : "D" }, { "family" : "Kalden", "given" : "J" }, { "family" : "Weisman", "given" : "M" }, { "family" : "Smolen", "given" : "J" }, { "family" : "Emery", "given" : "P" }, { "family" : "Harriman", "given" : "G" }, { "family" : "Feldmann", "given" : "M" }, { "family" : "Lipsky", "given" : "P" } ], "container-title" : "Lancet", "id" : "ITEM-5", "issue" : "9194", "issued" : { "date-parts" : [ [ "1999", "12", "4" ] ] }, "page" : "1932-9", "title" : "Infliximab (chimeric anti-tumour necrosis factor alpha monoclonal antibody) versus placebo in rheumatoid arthritis patients receiving concomitant methotrexate: a randomised phase III trial. ATTRACT Study Group.", "type" : "article-journal", "volume" : "354" }, "uris" : [ "http://www.mendeley.com/documents/?uuid=e56d3a46-8631-4995-a291-fbb04f117fc9" ] }, { "id" : "ITEM-6", "itemData" : { "DOI" : "10.1002/art.20712", "author" : [ { "family" : "Quinn", "given" : "Mark a" }, { "family" : "Conaghan", "given" : "Philip G" }, { "family" : "O'Connor", "given" : "Philip J" }, { "family" : "Karim", "given" : "Zunaid" }, { "family" : "Greenstein", "given" : "Adam" }, { "family" : "Brown", "given" : "Andrew" }, { "family" : "Brown", "given" : "Clare" }, { "family" : "Fraser", "given" : "Alexander" }, { "family" : "Jarret", "given" : "Stephen" }, { "family" : "Emery", "given" : "Paul" } ], "container-title" : "Arthritis and rheumatism", "id" : "ITEM-6", "issue" : "1", "issued" : { "date-parts" : [ [ "2005", "1" ] ] }, "note" : "\u003cm:note/\u003e", "page" : "27-35", "title" : "Very early treatment with infliximab in addition to methotrexate in early, poor-prognosis rheumatoid arthritis reduces magnetic resonance imaging evidence of synovitis and damage, with sustained benefit after infliximab withdrawal: results from a twelve-m", "type" : "article-journal", "volume" : "52" }, "uris" : [ "http://www.mendeley.com/documents/?uuid=6b88a887-a39c-4daf-860f-199c4a08c211" ] }, { "id" : "ITEM-7", "itemData" : { "DOI" : "10.1136/ard.2007.080002", "author" : [ { "family" : "Schiff", "given" : "M" }, { "family" : "Keiserman", "given" : "M" }, { "family" : "Codding", "given" : "C" }, { "family" : "Songcharoen", "given" : "S" }, { "family" : "Berman", "given" : "A" }, { "family" : "Nayiager", "given" : "S" }, { "family" : "Saldate", "given" : "C" }, { "family" : "Li", "given" : "T" }, { "family" : "Aranda", "given" : "R" }, { "family" : "Becker", "given" : "J-C" }, { "family" : "Lin", "given" : "C" }, { "family" : "Cornet", "given" : "P L N" }, { "family" : "Dougados", "given" : "M" } ], "container-title" : "Annals of the rheumatic diseases", "id" : "ITEM-7", "issue" : "8", "issued" : { "date-parts" : [ [ "2008", "8" ] ] }, "note" : "\u003cm:note\u003e\u003c/m:note\u003e", "page" : "1096-103", "title" : "Efficacy and safety of abatacept or infliximab vs placebo in ATTEST: a phase III, multi-centre, randomised, double-blind, placebo-controlled study in patients with rheumatoid arthritis and an inadequate response to methotrexate.", "type" : "article-journal", "volume" : "67" }, "uris" : [ "http://www.mendeley.com/documents/?uuid=8a301a90-6f43-4aa2-a6a1-82b3853c39d7" ] }, { "id" : "ITEM-8", "itemData" : { "DOI" : "10.1002/art.20982", "author" : [ { "family" : "Smolen", "given" : "J S" }, { "family" : "Han", "given" : "C" }, { "family" : "Bala", "given" : "M" }, { "family" : "Maini", "given" : "R N" }, { "family" : "Kalden", "given" : "J R" }, { "family" : "van der Heijde", "given" : "D" }, { "family" : "Breedveld", "given" : "F C" }, { "family" : "Furst", "given" : "D E" }, { "family" : "Lipsky", "given" : "P E" } ], "container-title" : "Arthritis and rheumatism", "id" : "ITEM-8", "issue" : "4", "issued" : { "date-parts" : [ [ "2005", "4" ] ] }, "page" : "1020-30", "title" : "Evidence of radiographic benefit of treatment with infliximab plus methotrexate in rheumatoid arthritis patients who had no clinical improvement: a detailed subanalysis of data from the anti-tumor necrosis factor trial in rheumatoid arthritis with concomi", "type" : "article-journal", "volume" : "52" }, "uris" : [ "http://www.mendeley.com/documents/?uuid=f6963e18-8bc8-4359-aac7-ef25f66fc183" ] }, { "id" : "ITEM-9", "itemData" : { "DOI" : "10.1002/art.21678", "author" : [ { "family" : "Smolen", "given" : "Josef S" }, { "family" : "Van Der Heijde", "given" : "D\u00e9sir\u00e9e M F M" }, { "family" : "St Clair", "given" : "E William" }, { "family" : "Emery", "given" : "Paul" }, { "family" : "Bathon", "given" : "Joan M" }, { "family" : "Keystone", "given" : "Edward" }, { "family" : "Maini", "given" : "Ravinder N" }, { "family" : "Kalden", "given" : "Joachim R" }, { "family" : "Schiff", "given" : "Michael" }, { "family" : "Baker", "given" : "Daniel" }, { "family" : "Han", "given" : "Chenglong" }, { "family" : "Han", "given" : "John" }, { "family" : "Bala", "given" : "Mohan" } ], "container-title" : "Arthritis and rheumatism", "id" : "ITEM-9", "issue" : "3", "issued" : { "date-parts" : [ [ "2006", "3" ] ] }, "page" : "702-10", "title" : "Predictors of joint damage in patients with early rheumatoid arthritis treated with high-dose methotrexate with or without concomitant infliximab: results from the ASPIRE trial.", "type" : "article-journal", "volume" : "54" }, "uris" : [ "http://www.mendeley.com/documents/?uuid=78370ead-985c-4841-a405-e42550ac973b" ] }, { "id" : "ITEM-10", "itemData" : { "DOI" : "10.1002/art.20568", "author" : [ { "family" : "St Clair", "given" : "E William" }, { "family" : "van der Heijde", "given" : "D\u00e9sir\u00e9e M F M" }, { "family" : "Smolen", "given" : "Josef S" }, { "family" : "Maini", "given" : "Ravinder N" }, { "family" : "Bathon", "given" : "Joan M" }, { "family" : "Emery", "given" : "Paul" }, { "family" : "Keystone", "given" : "Edward" }, { "family" : "Schiff", "given" : "Michael" }, { "family" : "Kalden", "given" : "Joachim R" }, { "family" : "Wang", "given" : "Ben" }, { "family" : "Dewoody", "given" : "Kimberly" }, { "family" : "Weiss", "given" : "Roberta" }, { "family" : "Baker", "given" : "Daniel" } ], "container-title" : "Arthritis and rheumatism", "id" : "ITEM-10", "issue" : "11", "issued" : { "date-parts" : [ [ "2004", "11" ] ] }, "note" : "\u003cm:note/\u003e", "page" : "3432-43", "title" : "Combination of infliximab and methotrexate therapy for early rheumatoid arthritis: a randomized, controlled trial.", "type" : "article-journal", "volume" : "50" }, "uris" : [ "http://www.mendeley.com/documents/?uuid=aa43efae-2fdd-49fe-9dde-b6a18fbab0a6" ] }, { "id" : "ITEM-11", "itemData" : { "author" : [ { "family" : "van Vollenhoven", "given" : "Ronald F" }, { "family" : "Schiff", "given" : "Michael" }, { "family" : "Keiserman", "given" : "M" }, { "family" : "Codding", "given" : "C" }, { "family" : "Songcharoen", "given" : "S" }, { "family" : "Berman", "given" : "A" }, { "family" : "Nayiager", "given" : "S" }, { "family" : "Saklate", "given" : "S" }, { "family" : "Aranda", "given" : "R" }, { "family" : "Becker", "given" : "J-C" }, { "family" : "Lin", "given" : "C" }, { "family" : "Cornet", "given" : "P L N" }, { "family" : "Dougados", "given" : "Maxime" } ], "container-title" : "Scandinavian journal of rheumatology", "id" : "ITEM-11", "issued" : { "date-parts" : [ [ "2008" ] ] }, "note" : "\u003cm:note\u003e\u003c/m:note\u003e", "page" : "52", "title" : "Safety of abatacept or infliximab in RA patients with an inadequate response to MTX: Results from a 1-year double-blind randomized clinical trial", "type" : "article-journal", "volume" : "Suppl 123" }, "uris" : [ "http://www.mendeley.com/documents/?uuid=fec48ce1-c994-4be1-816b-0d445baf9281" ] } ], "mendeley" : { "previouslyFormattedCitation" : "[49\u201359]" }, "properties" : { "noteIndex" : 0 }, "schema" : "https://github.com/citation-style-language/schema/raw/master/csl-citation.json" } </w:instrText>
            </w:r>
            <w:r w:rsidR="00BB0325" w:rsidRPr="00CB3924">
              <w:rPr>
                <w:lang w:val="en-GB"/>
              </w:rPr>
              <w:fldChar w:fldCharType="separate"/>
            </w:r>
            <w:r w:rsidR="00CB3924" w:rsidRPr="00CB3924">
              <w:rPr>
                <w:lang w:val="en-GB"/>
              </w:rPr>
              <w:t>[49–59]</w:t>
            </w:r>
            <w:r w:rsidR="00BB0325" w:rsidRPr="00CB3924">
              <w:rPr>
                <w:lang w:val="en-GB"/>
              </w:rPr>
              <w:fldChar w:fldCharType="end"/>
            </w:r>
            <w:r w:rsidR="00CB3924" w:rsidRPr="00CB3924">
              <w:rPr>
                <w:lang w:val="en-GB"/>
              </w:rPr>
              <w:t xml:space="preserve">, seven </w:t>
            </w:r>
            <w:proofErr w:type="spellStart"/>
            <w:r w:rsidR="00CB3924" w:rsidRPr="00CB3924">
              <w:rPr>
                <w:lang w:val="en-GB"/>
              </w:rPr>
              <w:t>etanercept</w:t>
            </w:r>
            <w:proofErr w:type="spellEnd"/>
            <w:r w:rsidR="00CB3924" w:rsidRPr="00CB3924">
              <w:rPr>
                <w:lang w:val="en-GB"/>
              </w:rPr>
              <w:t xml:space="preserve"> </w:t>
            </w:r>
            <w:r w:rsidR="00BB0325" w:rsidRPr="00CB3924">
              <w:rPr>
                <w:lang w:val="en-GB"/>
              </w:rPr>
              <w:fldChar w:fldCharType="begin" w:fldLock="1"/>
            </w:r>
            <w:r w:rsidR="00CB3924" w:rsidRPr="00CB3924">
              <w:rPr>
                <w:lang w:val="en-GB"/>
              </w:rPr>
              <w:instrText xml:space="preserve">ADDIN Mendeley Citation{91d7c6cc-02ec-4419-97f2-ce6d5aab3f65};{f43fc033-85ee-4271-999f-f96e1440b69a};{7e392af5-e3ae-40bb-8e22-eb633b371f85};{7530cae1-2dea-4e8f-8fb9-60300a0fa422};{08db6d93-1dbf-4b49-a663-20505652cb98};{2643fa4f-08d5-4ae6-971f-455a414137c2};{24515a57-206d-4be5-8704-03a6f46c0773};{b938c670-c26f-4776-bd73-caac4f13e613};{fb61ec5a-07e0-4a8e-ac20-c2d28e9812ab};{eb813453-16a9-4329-8192-ca9388a1518b};{32ca5928-40c7-4695-8806-5f6a5f5f86e9};{6bd61a80-b9f7-45c0-b5e1-5aa96baa191e};{49e5d9fa-980d-401c-bfff-7a1b891841c8} CSL_CITATION  { "citationItems" : [ { "id" : "ITEM-1", "itemData" : { "author" : [ { "family" : "Bathon", "given" : "J M" }, { "family" : "Genovese", "given" : "M C" } ], "container-title" : "Clinical and experimental rheumatology", "id" : "ITEM-1", "issue" : "5 Suppl 31", "issued" : { "date-parts" : [ [ "2003" ] ] }, "note" : "\u003cm:note\u003e\u003c/m:note\u003e", "page" : "195-197", "title" : "The Early Rheumatoid Arthritis (ERA) trial comparing the efficacy and safety of etanercept and methotrexate.", "type" : "article-journal", "volume" : "21" }, "uris" : [ "http://www.mendeley.com/documents/?uuid=91d7c6cc-02ec-4419-97f2-ce6d5aab3f65" ] }, { "id" : "ITEM-2", "itemData" : { "author" : [ { "family" : "Bathon", "given" : "Joan M" }, { "family" : "Martin", "given" : "Richard W" }, { "family" : "Fleischmann", "given" : "Roy M" }, { "family" : "Tesser", "given" : "John R" }, { "family" : "Schiff", "given" : "Michael H" }, { "family" : "Keystone", "given" : "Edward C" }, { "family" : "Genovese", "given" : "Mark C" }, { "family" : "Wasko", "given" : "Mary Chester" }, { "family" : "Moreland", "given" : "Larry W" }, { "family" : "Weaver", "given" : "Arthur L" }, { "family" : "Markenson", "given" : "Joseph" }, { "family" : "Finck", "given" : "Barbara K" } ], "container-title" : "The New England journal of medicine", "id" : "ITEM-2", "issue" : "22", "issued" : { "date-parts" : [ [ "2000" ] ] }, "note" : "\u003cm:note/\u003e", "page" : "1586-1593", "title" : "A comparison of etanercept and methotrexate in patients with early rheumatoid arthritis", "type" : "article-journal", "volume" : "343" }, "uris" : [ "http://www.mendeley.com/documents/?uuid=f43fc033-85ee-4271-999f-f96e1440b69a" ] }, { "id" : "ITEM-3", "itemData" : { "DOI" : "10.1016/S0140-6736(08)61000-4", "author" : [ { "family" : "Emery", "given" : "Paul" }, { "family" : "Breedveld", "given" : "Ferdinand C" }, { "family" : "Hall", "given" : "Stephen" }, { "family" : "Durez", "given" : "Patrick" }, { "family" : "Chang", "given" : "David J" }, { "family" : "Robertson", "given" : "Deborah" }, { "family" : "Singh", "given" : "Amitabh" }, { "family" : "Pedersen", "given" : "Ronald D" }, { "family" : "Koenig", "given" : "Andrew S" }, { "family" : "Freundlich", "given" : "Bruce" } ], "container-title" : "Lancet", "id" : "ITEM-3", "issue" : "9636", "issued" : { "date-parts" : [ [ "2008", "8", "2" ] ] }, "note" : "\u003cm:note/\u003e", "page" : "375-82", "title" : "Comparison of methotrexate monotherapy with a combination of methotrexate and etanercept in active, early, moderate to severe rheumatoid arthritis (COMET): a randomised, double-blind, parallel treatment trial.", "type" : "article-journal", "volume" : "372" }, "uris" : [ "http://www.mendeley.com/documents/?uuid=7e392af5-e3ae-40bb-8e22-eb633b371f85" ] }, { "id" : "ITEM-4", "itemData" : { "DOI" : "10.1002/art.27268", "author" : [ { "family" : "Emery", "given" : "Paul" }, { "family" : "Breedveld", "given" : "Ferdinand" }, { "family" : "van der Heijde", "given" : "D\u00e9sir\u00e9e" }, { "family" : "Ferraccioli", "given" : "Gianfranco" }, { "family" : "Dougados", "given" : "Maxime" }, { "family" : "Robertson", "given" : "Deborah" }, { "family" : "Pedersen", "given" : "Ronald" }, { "family" : "Koenig", "given" : "Andrew S" }, { "family" : "Freundlich", "given" : "Bruce" } ], "container-title" : "Arthritis and rheumatism", "id" : "ITEM-4", "issue" : "3", "issued" : { "date-parts" : [ [ "2010", "3" ] ] }, "note" : "\u003cm:note/\u003e", "page" : "674-82", "title" : "Two-year clinical and radiographic results with combination etanercept-methotrexate therapy versus monotherapy in early rheumatoid arthritis: a two-year, double-blind, randomized study.", "type" : "article-journal", "volume" : "62" }, "uris" : [ "http://www.mendeley.com/documents/?uuid=7530cae1-2dea-4e8f-8fb9-60300a0fa422" ] }, { "id" : "ITEM-5", "itemData" : { "DOI" : "10.1002/art.10308", "author" : [ { "family" : "Genovese", "given" : "Mark C" }, { "family" : "Bathon", "given" : "Joan M" }, { "family" : "Martin", "given" : "Richard W" }, { "family" : "Fleischmann", "given" : "Roy M" }, { "family" : "Tesser", "given" : "John R" }, { "family" : "Schiff", "given" : "Michael H" }, { "family" : "Keystone", "given" : "Edward C" }, { "family" : "Wasko", "given" : "Mary Chester" }, { "family" : "Moreland", "given" : "Larry W" }, { "family" : "Weaver", "given" : "Arthur L" }, { "family" : "Markenson", "given" : "Joseph" }, { "family" : "Cannon", "given" : "Grant W" }, { "family" : "Spencer-Green", "given" : "George" }, { "family" : "Finck", "given" : "Barbara K" } ], "container-title" : "Arthritis and rheumatism", "id" : "ITEM-5", "issue" : "6", "issued" : { "date-parts" : [ [ "2002", "6" ] ] }, "note" : "\u003cm:note/\u003e", "page" : "1443-50", "title" : "Etanercept versus methotrexate in patients with early rheumatoid arthritis: two-year radiographic and clinical outcomes.", "type" : "article-journal", "volume" : "46" }, "uris" : [ "http://www.mendeley.com/documents/?uuid=08db6d93-1dbf-4b49-a663-20505652cb98" ] }, { "id" : "ITEM-6", "itemData" : { "DOI" : "10.1136/ard.2008.094524", "author" : [ { "family" : "Kavanaugh", "given" : "a" }, { "family" : "Klareskog", "given" : "L" }, { "family" : "van der Heijde", "given" : "D" }, { "family" : "Li", "given" : "J" }, { "family" : "Freundlich", "given" : "B" }, { "family" : "Hooper", "given" : "M" } ], "container-title" : "Annals of the rheumatic diseases", "id" : "ITEM-6", "issue" : "10", "issued" : { "date-parts" : [ [ "2008", "10" ] ] }, "page" : "1444-7", "title" : "Improvements in clinical response between 12 and 24 weeks in patients with rheumatoid arthritis on etanercept therapy with or without methotrexate.", "type" : "article-journal", "volume" : "67" }, "uris" : [ "http://www.mendeley.com/documents/?uuid=2643fa4f-08d5-4ae6-971f-455a414137c2" ] }, { "id" : "ITEM-7", "itemData" : { "DOI" : "10.1002/art.20019", "author" : [ { "family" : "Keystone", "given" : "Edward C" }, { "family" : "Schiff", "given" : "Michael H" }, { "family" : "Kremer", "given" : "Joel M" }, { "family" : "Kafka", "given" : "Shelly" }, { "family" : "Lovy", "given" : "Michael" }, { "family" : "DeVries", "given" : "Todd" }, { "family" : "Burge", "given" : "Daniel J" } ], "container-title" : "Arthritis and rheumatism", "id" : "ITEM-7", "issue" : "2", "issued" : { "date-parts" : [ [ "2004", "2" ] ] }, "note" : "\u003cm:note/\u003e", "page" : "353-63", "title" : "Once-weekly administration of 50 mg etanercept in patients with active rheumatoid arthritis: results of a multicenter, randomized, double-blind, placebo-controlled trial.", "type" : "article-journal", "volume" : "50" }, "uris" : [ "http://www.mendeley.com/documents/?uuid=24515a57-206d-4be5-8704-03a6f46c0773" ] }, { "id" : "ITEM-8", "itemData" : { "DOI" : "10.1016/S0140-6736(04)15640-7", "author" : [ { "family" : "Klareskog", "given" : "Lars" }, { "family" : "van der Heijde", "given" : "D\u00e9sir\u00e9e" }, { "family" : "de Jager", "given" : "Julien P" }, { "family" : "Gough", "given" : "Andrew" }, { "family" : "Kalden", "given" : "Joachim" }, { "family" : "Malaise", "given" : "Michel" }, { "family" : "Mart\u00edn Mola", "given" : "Emilio" }, { "family" : "Pavelka", "given" : "Karel" }, { "family" : "Sany", "given" : "Jacques" }, { "family" : "Settas", "given" : "Lucas" }, { "family" : "Wajdula", "given" : "Joseph" }, { "family" : "Pedersen", "given" : "Ronald" }, { "family" : "Fatenejad", "given" : "Saeed" }, { "family" : "Sanda", "given" : "Marie" } ], "container-title" : "Lancet", "id" : "ITEM-8", "issue" : "9410", "issued" : { "date-parts" : [ [ "2004", "2", "28" ] ] }, "note" : "\u003cm:note/\u003e", "page" : "675-81", "title" : "Therapeutic effect of the combination of etanercept and methotrexate compared with each treatment alone in patients with rheumatoid arthritis: double-blind randomised controlled trial.", "type" : "article-journal", "volume" : "363" }, "uris" : [ "http://www.mendeley.com/documents/?uuid=b938c670-c26f-4776-bd73-caac4f13e613" ] }, { "id" : "ITEM-9", "itemData" : { "author" : [ { "family" : "Lan", "given" : "Joung-liang" }, { "family" : "Chou", "given" : "Show-jan" }, { "family" : "Chen", "given" : "Der-yuan" }, { "family" : "Chen", "given" : "Yi-hsing" }, { "family" : "Hsieh", "given" : "Tsu-yi" }, { "family" : "Jr", "given" : "Mariano Young" } ], "container-title" : "Journal Of The Formosan Medical Association", "id" : "ITEM-9", "issue" : "160", "issued" : { "date-parts" : [ [ "2004" ] ] }, "note" : "\u003cm:note/\u003e", "page" : "618-623", "title" : "A comparative study of etanercept plus methotrexate and methotrexate alone in Taiwanese patients with active rheumatoid arthritis : a 12-week , double -blind , randomized , placebo -controlled study", "type" : "article-journal", "volume" : "103" }, "uris" : [ "http://www.mendeley.com/documents/?uuid=fb61ec5a-07e0-4a8e-ac20-c2d28e9812ab" ] }, { "id" : "ITEM-10", "itemData" : { "author" : [ { "family" : "Moreland", "given" : "L W" }, { "family" : "Schiff", "given" : "M H" }, { "family" : "Baumgartner", "given" : "S W" }, { "family" : "Tindall", "given" : "E a" }, { "family" : "Fleischmann", "given" : "R M" }, { "family" : "Bulpitt", "given" : "K J" }, { "family" : "Weaver", "given" : "a L" }, { "family" : "Keystone", "given" : "E C" }, { "family" : "Furst", "given" : "D E" }, { "family" : "Mease", "given" : "P J" }, { "family" : "Ruderman", "given" : "E M" }, { "family" : "Horwitz", "given" : "D a" }, { "family" : "Arkfeld", "given" : "D G" }, { "family" : "Garrison", "given" : "L" }, { "family" : "Burge", "given" : "D J" }, { "family" : "Blosch", "given" : "C M" }, { "family" : "Lange", "given" : "M L" }, { "family" : "McDonnell", "given" : "N D" }, { "family" : "Weinblatt", "given" : "M E" } ], "container-title" : "Annals of internal medicine", "id" : "ITEM-10", "issue" : "6", "issued" : { "date-parts" : [ [ "1999", "3", "16" ] ] }, "note" : "\u003cm:note/\u003e", "page" : "478-86", "title" : "Etanercept therapy in rheumatoid arthritis. A randomized, controlled trial.", "type" : "article-journal", "volume" : "130" }, "uris" : [ "http://www.mendeley.com/documents/?uuid=eb813453-16a9-4329-8192-ca9388a1518b" ] }, { "id" : "ITEM-11", "itemData" : { "DOI" : "10.1002/art.23141", "author" : [ { "family" : "van der Heijde", "given" : "D" }, { "family" : "Klareskog", "given" : "L" }, { "family" : "Landew\u00e9", "given" : "R" }, { "family" : "Bruyn", "given" : "G a W" }, { "family" : "Cantagrel", "given" : "A" }, { "family" : "Durez", "given" : "P" }, { "family" : "Herrero-Beaumont", "given" : "G" }, { "family" : "Molad", "given" : "Y" }, { "family" : "Codreanu", "given" : "C" }, { "family" : "Valentini", "given" : "G" }, { "family" : "Zahora", "given" : "R" }, { "family" : "Pedersen", "given" : "R" }, { "family" : "MacPeek", "given" : "D" }, { "family" : "Wajdula", "given" : "J" }, { "family" : "Fatenejad", "given" : "S" } ], "container-title" : "Arthritis and rheumatism", "id" : "ITEM-11", "issue" : "12", "issued" : { "date-parts" : [ [ "2007", "12" ] ] }, "note" : "\u003cm:note/\u003e", "page" : "3928-39", "title" : "Disease remission and sustained halting of radiographic progression with combination etanercept and methotrexate in patients with rheumatoid arthritis.", "type" : "article-journal", "volume" : "56" }, "uris" : [ "http://www.mendeley.com/documents/?uuid=32ca5928-40c7-4695-8806-5f6a5f5f86e9" ] }, { "id" : "ITEM-12", "itemData" : { "DOI" : "10.1002/art.21655", "author" : [ { "family" : "van der Heijde", "given" : "D\u00e9sir\u00e9e" }, { "family" : "Klareskog", "given" : "Lars" }, { "family" : "Rodriguez-Valverde", "given" : "Vicente" }, { "family" : "Codreanu", "given" : "Catalin" }, { "family" : "Bolosiu", "given" : "Horatiu" }, { "family" : "Melo-Gomes", "given" : "Jose" }, { "family" : "Tornero-Molina", "given" : "Jesus" }, { "family" : "Wajdula", "given" : "Joseph" }, { "family" : "Pedersen", "given" : "Ronald" }, { "family" : "Fatenejad", "given" : "Saeed" } ], "container-title" : "Arthritis and rheumatism", "id" : "ITEM-12", "issue" : "4", "issued" : { "date-parts" : [ [ "2006", "4" ] ] }, "note" : "\u003cm:note/\u003e", "page" : "1063-74", "title" : "Comparison of etanercept and methotrexate, alone and combined, in the treatment of rheumatoid arthritis: two-year clinical and radiographic results from the TEMPO study, a double-blind, randomized trial.", "type" : "article-journal", "volume" : "54" }, "uris" : [ "http://www.mendeley.com/documents/?uuid=6bd61a80-b9f7-45c0-b5e1-5aa96baa191e" ] }, { "id" : "ITEM-13", "itemData" : { "DOI" : "10.1056/NEJM199901283400401", "author" : [ { "family" : "Weinblatt", "given" : "M E" }, { "family" : "Kremer", "given" : "J M" }, { "family" : "Bankhurst", "given" : "a D" }, { "family" : "Bulpitt", "given" : "K J" }, { "family" : "Fleischmann", "given" : "R M" }, { "family" : "Fox", "given" : "R I" }, { "family" : "Jackson", "given" : "C G" }, { "family" : "Lange", "given" : "M" }, { "family" : "Burge", "given" : "D J" } ], "container-title" : "The New England journal of medicine", "id" : "ITEM-13", "issue" : "4", "issued" : { "date-parts" : [ [ "1999", "1", "28" ] ] }, "note" : "\u003cm:note/\u003e", "page" : "253-9", "title" : "A trial of etanercept, a recombinant tumor necrosis factor receptor:Fc fusion protein, in patients with rheumatoid arthritis receiving methotrexate.", "type" : "article-journal", "volume" : "340" }, "uris" : [ "http://www.mendeley.com/documents/?uuid=49e5d9fa-980d-401c-bfff-7a1b891841c8" ] } ], "mendeley" : { "previouslyFormattedCitation" : "[60\u201372]" }, "properties" : { "noteIndex" : 0 }, "schema" : "https://github.com/citation-style-language/schema/raw/master/csl-citation.json" } </w:instrText>
            </w:r>
            <w:r w:rsidR="00BB0325" w:rsidRPr="00CB3924">
              <w:rPr>
                <w:lang w:val="en-GB"/>
              </w:rPr>
              <w:fldChar w:fldCharType="separate"/>
            </w:r>
            <w:r w:rsidR="00CB3924" w:rsidRPr="00CB3924">
              <w:rPr>
                <w:lang w:val="en-GB"/>
              </w:rPr>
              <w:t>[60–72]</w:t>
            </w:r>
            <w:r w:rsidR="00BB0325" w:rsidRPr="00CB3924">
              <w:rPr>
                <w:lang w:val="en-GB"/>
              </w:rPr>
              <w:fldChar w:fldCharType="end"/>
            </w:r>
            <w:r w:rsidR="00CB3924" w:rsidRPr="00CB3924">
              <w:rPr>
                <w:lang w:val="en-GB"/>
              </w:rPr>
              <w:t xml:space="preserve">, eight </w:t>
            </w:r>
            <w:proofErr w:type="spellStart"/>
            <w:r w:rsidR="00CB3924" w:rsidRPr="00CB3924">
              <w:rPr>
                <w:lang w:val="en-GB"/>
              </w:rPr>
              <w:t>adalimumab</w:t>
            </w:r>
            <w:proofErr w:type="spellEnd"/>
            <w:r w:rsidR="00CB3924" w:rsidRPr="00CB3924">
              <w:rPr>
                <w:lang w:val="en-GB"/>
              </w:rPr>
              <w:t xml:space="preserve"> </w:t>
            </w:r>
            <w:r w:rsidR="00BB0325" w:rsidRPr="00CB3924">
              <w:rPr>
                <w:lang w:val="en-GB"/>
              </w:rPr>
              <w:fldChar w:fldCharType="begin" w:fldLock="1"/>
            </w:r>
            <w:r w:rsidR="00CB3924" w:rsidRPr="00CB3924">
              <w:rPr>
                <w:lang w:val="en-GB"/>
              </w:rPr>
              <w:instrText xml:space="preserve">ADDIN Mendeley Citation{3712be4d-b32a-4fb3-8fd3-99f902e26c21};{f2ff4d69-b425-4b95-8cad-af57be131cfc};{f90bea98-9d9c-41c2-a29c-a5c420246cd0};{fed587b0-ab6d-4476-88e3-aab673a9ce14};{17d62575-3b46-4f63-a099-01eaab5d8ff8};{dd8744b6-9922-4340-b1d2-ca51bdb4abde};{dcb5daff-900d-428a-b5c0-33ee91a5f91d};{c5a43233-2f2a-4bae-a1b4-e387a7ff66a3};{9cc45f48-d8b1-444f-9680-0baeb9d1efec};{d4abaf18-c449-4d0a-b0be-23269ff8283a} CSL_CITATION  { "citationItems" : [ { "id" : "ITEM-1", "itemData" : { "DOI" : "10.1002/art.21519", "author" : [ { "family" : "Breedveld", "given" : "Ferdinand C" }, { "family" : "Weisman", "given" : "Michael H" }, { "family" : "Kavanaugh", "given" : "Arthur F" }, { "family" : "Cohen", "given" : "Stanley B" }, { "family" : "Pavelka", "given" : "Karel" }, { "family" : "van Vollenhoven", "given" : "Ronald" }, { "family" : "Sharp", "given" : "John" }, { "family" : "Perez", "given" : "John L" }, { "family" : "Spencer-Green", "given" : "George T" } ], "container-title" : "Arthritis and rheumatism", "id" : "ITEM-1", "issue" : "1", "issued" : { "date-parts" : [ [ "2006", "1" ] ] }, "page" : "26-37", "title" : "The PREMIER study: A multicenter, randomized, double-blind clinical trial of combination therapy with adalimumab plus methotrexate versus methotrexate alone or adalimumab alone in patients with early, aggressive rheumatoid arthritis who had not had previo", "type" : "article-journal", "volume" : "54" }, "uris" : [ "http://www.mendeley.com/documents/?uuid=3712be4d-b32a-4fb3-8fd3-99f902e26c21" ] }, { "id" : "ITEM-2", "itemData" : { "DOI" : "10.1016/S0929-6646(09)60071-1", "author" : [ { "family" : "Chen", "given" : "Der-Yuan" }, { "family" : "Chou", "given" : "Show-Jan" }, { "family" : "Hsieh", "given" : "Tsu-Yi" }, { "family" : "Chen", "given" : "Yi-Hsing" }, { "family" : "Chen", "given" : "Hsin-Hua" }, { "family" : "Hsieh", "given" : "Chia-Wei" }, { "family" : "Lan", "given" : "Joung-Liang" } ], "container-title" : "Journal of the Formosan Medical Association = Taiwan yi zhi", "id" : "ITEM-2", "issue" : "4", "issued" : { "date-parts" : [ [ "2009", "4" ] ] }, "note" : "\u003cm:note/\u003e", "page" : "310-9", "publisher" : "Formosan Medical Association \u0026 Elsevier", "title" : "Randomized, double-blind, placebo-controlled, comparative study of human anti-TNF antibody adalimumab in combination with methotrexate and methotrexate alone in Taiwanese patients with active rheumatoid arthritis.", "type" : "article-journal", "volume" : "108" }, "uris" : [ "http://www.mendeley.com/documents/?uuid=f2ff4d69-b425-4b95-8cad-af57be131cfc" ] }, { "id" : "ITEM-3", "itemData" : { "DOI" : "10.1007/s10067-008-1064-0", "author" : [ { "family" : "Jamal", "given" : "Shahin" }, { "family" : "Patra", "given" : "Kaushik" }, { "family" : "Keystone", "given" : "Edward C" } ], "container-title" : "Clinical rheumatology", "id" : "ITEM-3", "issue" : "4", "issued" : { "date-parts" : [ [ "2009", "4" ] ] }, "note" : "\u003cm:note/\u003e", "page" : "413-9", "title" : "Adalimumab response in patients with early versus established rheumatoid arthritis: DE019 randomized controlled trial subanalysis.", "type" : "article-journal", "volume" : "28" }, "uris" : [ "http://www.mendeley.com/documents/?uuid=f90bea98-9d9c-41c2-a29c-a5c420246cd0" ] }, { "id" : "ITEM-4", "itemData" : { "author" : [ { "family" : "Keystone", "given" : "E C" }, { "family" : "Haraoui", "given" : "B" }, { "family" : "Bykerk", "given" : "V P" } ], "container-title" : "Clinical and experimental rheumatology", "id" : "ITEM-4", "issue" : "5 Suppl 31", "issued" : { "date-parts" : [ [ "2003" ] ] }, "note" : "\u003cm:note\u003e\u003c/m:note\u003e", "page" : "198-9", "title" : "Role of adalimumab in the treatment of early rheumatoid arthritis.", "type" : "article-journal", "volume" : "21" }, "uris" : [ "http://www.mendeley.com/documents/?uuid=fed587b0-ab6d-4476-88e3-aab673a9ce14" ] }, { "id" : "ITEM-5", "itemData" : { "DOI" : "10.1002/art.20217", "author" : [ { "family" : "Keystone", "given" : "Edward C" }, { "family" : "Kavanaugh", "given" : "Arthur F" }, { "family" : "Sharp", "given" : "John T" }, { "family" : "Tannenbaum", "given" : "Hyman" }, { "family" : "Hua", "given" : "Ye" }, { "family" : "Teoh", "given" : "Leah S" }, { "family" : "Fischkoff", "given" : "Steven a" }, { "family" : "Chartash", "given" : "Elliot K" } ], "container-title" : "Arthritis and rheumatism", "id" : "ITEM-5", "issue" : "5", "issued" : { "date-parts" : [ [ "2004", "5" ] ] }, "note" : "\u003cm:note/\u003e", "page" : "1400-11", "title" : "Radiographic, clinical, and functional outcomes of treatment with adalimumab (a human anti-tumor necrosis factor monoclonal antibody) in patients with active rheumatoid arthritis receiving concomitant methotrexate therapy: a randomized, placebo-controlled", "type" : "article-journal", "volume" : "50" }, "uris" : [ "http://www.mendeley.com/documents/?uuid=17d62575-3b46-4f63-a099-01eaab5d8ff8" ] }, { "id" : "ITEM-6", "itemData" : { "author" : [ { "family" : "Kim", "given" : "Ho-youn" }, { "family" : "Lee", "given" : "Soo-kon" }, { "family" : "Song", "given" : "Yeong Wook" }, { "family" : "Yoo", "given" : "Dae-hyun" }, { "family" : "Koh", "given" : "Eun-mi" }, { "family" : "Yoo", "given" : "Bin" }, { "family" : "Luo", "given" : "Allison" } ], "container-title" : "APLAR Journal of Rheumatology", "id" : "ITEM-6", "issued" : { "date-parts" : [ [ "2007" ] ] }, "note" : "\u003cm:note\u003e\u003c/m:note\u003e", "page" : "9-16", "title" : "study of the human anti-tumor necrosis factor antibody adalimumab administered as subcutaneous injections in Korean rheumatoid arthritis patients treated with methotrexate", "type" : "article-journal", "volume" : "10" }, "uris" : [ "http://www.mendeley.com/documents/?uuid=dd8744b6-9922-4340-b1d2-ca51bdb4abde" ] }, { "id" : "ITEM-7", "itemData" : { "DOI" : "10.1007/s10165-008-0045-0", "author" : [ { "family" : "Miyasaka", "given" : "Nobuyuki" } ], "container-title" : "Modern rheumatology / the Japan Rheumatism Association", "id" : "ITEM-7", "issue" : "3", "issued" : { "date-parts" : [ [ "2008", "1" ] ] }, "note" : "\u003cm:note/\u003e", "page" : "252-62", "title" : "Clinical investigation in highly disease-affected rheumatoid arthritis patients in Japan with adalimumab applying standard and general evaluation: the CHANGE study.", "type" : "article-journal", "volume" : "18" }, "uris" : [ "http://www.mendeley.com/documents/?uuid=dcb5daff-900d-428a-b5c0-33ee91a5f91d" ] }, { "id" : "ITEM-8", "itemData" : { "DOI" : "10.1136/ard.2003.009563", "author" : [ { "family" : "van de Putte", "given" : "L B a" }, { "family" : "Rau", "given" : "Rolf" }, { "family" : "Breedveld", "given" : "Ferdinand C" }, { "family" : "Kalden", "given" : "Joachim R" }, { "family" : "Malaise", "given" : "M G" }, { "family" : "van Riel", "given" : "Piet L C M" }, { "family" : "Schattenkirchner", "given" : "M" }, { "family" : "Emery", "given" : "Paul" }, { "family" : "Burmester", "given" : "Gerd R" }, { "family" : "Zeidler", "given" : "H" }, { "family" : "Moutsopoulos", "given" : "H M" }, { "family" : "Beck", "given" : "K" }, { "family" : "Kupper", "given" : "H" } ], "container-title" : "Annals of the Rheumatic Diseases", "id" : "ITEM-8", "issue" : "12", "issued" : { "date-parts" : [ [ "2003", "12", "1" ] ] }, "note" : "\u003cm:note\u003e\u003c/m:note\u003e", "page" : "1168-1177", "title" : "Efficacy and safety of the fully human anti-tumour necrosis factor monoclonal antibody adalimumab (D2E7) in DMARD refractory patients with rheumatoid arthritis: a 12 week, phase II study", "type" : "article-journal", "volume" : "62" }, "uris" : [ "http://www.mendeley.com/documents/?uuid=c5a43233-2f2a-4bae-a1b4-e387a7ff66a3" ] }, { "id" : "ITEM-9", "itemData" : { "DOI" : "10.1136/ard.2003.013052", "author" : [ { "family" : "van de Putte", "given" : "L B a" }, { "family" : "Atkins", "given" : "C" }, { "family" : "Malaise", "given" : "M" }, { "family" : "Sany", "given" : "J" }, { "family" : "Russell", "given" : "a S" }, { "family" : "van Riel", "given" : "P L C M" }, { "family" : "Settas", "given" : "L" }, { "family" : "Bijlsma", "given" : "J W" }, { "family" : "Todesco", "given" : "S" }, { "family" : "Dougados", "given" : "M" }, { "family" : "Nash", "given" : "P" }, { "family" : "Emery", "given" : "P" }, { "family" : "Walter", "given" : "N" }, { "family" : "Kaul", "given" : "M" }, { "family" : "Fischkoff", "given" : "S" }, { "family" : "Kupper", "given" : "H" } ], "container-title" : "Annals of the rheumatic diseases", "id" : "ITEM-9", "issue" : "5", "issued" : { "date-parts" : [ [ "2004", "5" ] ] }, "note" : "\u003cm:note\u003e\u003c/m:note\u003e", "page" : "508-16", "title" : "Efficacy and safety of adalimumab as monotherapy in patients with rheumatoid arthritis for whom previous disease modifying antirheumatic drug treatment has failed.", "type" : "article-journal", "volume" : "63" }, "uris" : [ "http://www.mendeley.com/documents/?uuid=9cc45f48-d8b1-444f-9680-0baeb9d1efec" ] }, { "id" : "ITEM-10", "itemData" : { "DOI" : "10.1002/art.10697", "author" : [ { "family" : "Weinblatt", "given" : "Michael E" }, { "family" : "Keystone", "given" : "Edward C" }, { "family" : "Furst", "given" : "Daniel E" }, { "family" : "Moreland", "given" : "Larry W" }, { "family" : "Weisman", "given" : "Michael H" }, { "family" : "Birbara", "given" : "Charles a" }, { "family" : "Teoh", "given" : "Leah a" }, { "family" : "Fischkoff", "given" : "Steven a" }, { "family" : "Chartash", "given" : "Elliot K" } ], "container-title" : "Arthritis and rheumatism", "id" : "ITEM-10", "issue" : "1", "issued" : { "date-parts" : [ [ "2003", "1" ] ] }, "note" : "\u003cm:note/\u003e", "page" : "35-45", "title" : "Adalimumab, a fully human anti-tumor necrosis factor alpha monoclonal antibody, for the treatment of rheumatoid arthritis in patients taking concomitant methotrexate: the ARMADA trial.", "type" : "article-journal", "volume" : "48" }, "uris" : [ "http://www.mendeley.com/documents/?uuid=d4abaf18-c449-4d0a-b0be-23269ff8283a" ] } ], "mendeley" : { "previouslyFormattedCitation" : "[73\u201382]" }, "properties" : { "noteIndex" : 0 }, "schema" : "https://github.com/citation-style-language/schema/raw/master/csl-citation.json" } </w:instrText>
            </w:r>
            <w:r w:rsidR="00BB0325" w:rsidRPr="00CB3924">
              <w:rPr>
                <w:lang w:val="en-GB"/>
              </w:rPr>
              <w:fldChar w:fldCharType="separate"/>
            </w:r>
            <w:r w:rsidR="00CB3924" w:rsidRPr="00CB3924">
              <w:rPr>
                <w:lang w:val="en-GB"/>
              </w:rPr>
              <w:t>[73–82]</w:t>
            </w:r>
            <w:r w:rsidR="00BB0325" w:rsidRPr="00CB3924">
              <w:rPr>
                <w:lang w:val="en-GB"/>
              </w:rPr>
              <w:fldChar w:fldCharType="end"/>
            </w:r>
            <w:r w:rsidR="00CB3924" w:rsidRPr="00CB3924">
              <w:rPr>
                <w:lang w:val="en-GB"/>
              </w:rPr>
              <w:t xml:space="preserve">, three </w:t>
            </w:r>
            <w:proofErr w:type="spellStart"/>
            <w:r w:rsidR="00CB3924" w:rsidRPr="00CB3924">
              <w:rPr>
                <w:lang w:val="en-GB"/>
              </w:rPr>
              <w:t>golimumab</w:t>
            </w:r>
            <w:proofErr w:type="spellEnd"/>
            <w:r w:rsidR="00CB3924" w:rsidRPr="00CB3924">
              <w:rPr>
                <w:lang w:val="en-GB"/>
              </w:rPr>
              <w:t xml:space="preserve"> </w:t>
            </w:r>
            <w:r w:rsidR="00BB0325" w:rsidRPr="00CB3924">
              <w:rPr>
                <w:lang w:val="en-GB"/>
              </w:rPr>
              <w:fldChar w:fldCharType="begin" w:fldLock="1"/>
            </w:r>
            <w:r w:rsidR="00CB3924" w:rsidRPr="00CB3924">
              <w:rPr>
                <w:lang w:val="en-GB"/>
              </w:rPr>
              <w:instrText xml:space="preserve">ADDIN Mendeley Citation{37598ab4-3167-4097-8ad1-25d4dd1235d1};{067b557c-f659-451c-bf34-9b03c3b7ab21};{c8c42e12-f68f-48f0-9f96-5831515ce013} CSL_CITATION  { "citationItems" : [ { "id" : "ITEM-1", "itemData" : { "DOI" : "10.1002/art.24638", "abstract" : "To assess the safety and efficacy of golimumab in methotrexate (MTX)-naive patients with active rheumatoid arthritis (RA).", "author" : [ { "family" : "Emery", "given" : "Paul" }, { "family" : "Fleischmann", "given" : "Roy M" }, { "family" : "Moreland", "given" : "Larry W" }, { "family" : "Hsia", "given" : "Elizabeth C" }, { "family" : "Strusberg", "given" : "Ingrid" }, { "family" : "Durez", "given" : "Patrick" }, { "family" : "Nash", "given" : "Peter" }, { "family" : "Amante", "given" : "Eric Jason B" }, { "family" : "Churchill", "given" : "Melvin" }, { "family" : "Park", "given" : "Won" }, { "family" : "Pons-Estel", "given" : "Bernardo Antonio" }, { "family" : "Doyle", "given" : "Mittie K" }, { "family" : "Visvanathan", "given" : "Sudha" }, { "family" : "Xu", "given" : "Weichun" }, { "family" : "Rahman", "given" : "Mahboob U" } ], "container-title" : "Arthritis and rheumatism", "id" : "ITEM-1", "issue" : "8", "issued" : { "date-parts" : [ [ "2009", "8" ] ] }, "note" : "\u003cm:note\u003e\u003c/m:note\u003e", "page" : "2272-83", "title" : "Golimumab, a human anti-tumor necrosis factor alpha monoclonal antibody, injected subcutaneously every four weeks in methotrexate-naive patients with active rheumatoid arthritis: twenty-four-week results of a phase III, multicenter, randomized, double-bli", "type" : "article-journal", "volume" : "60" }, "uris" : [ "http://www.mendeley.com/documents/?uuid=37598ab4-3167-4097-8ad1-25d4dd1235d1" ] }, { "id" : "ITEM-2", "itemData" : { "DOI" : "10.1002/art.23383", "author" : [ { "family" : "Kay", "given" : "Jonathan" }, { "family" : "Matteson", "given" : "Eric L" }, { "family" : "Dasgupta", "given" : "Bhaskar" }, { "family" : "Nash", "given" : "Peter" }, { "family" : "Durez", "given" : "Patrick" }, { "family" : "Hall", "given" : "Stephen" }, { "family" : "Hsia", "given" : "Elizabeth C" }, { "family" : "Han", "given" : "John" }, { "family" : "Wagner", "given" : "Carrie" }, { "family" : "Xu", "given" : "Zhenhua" }, { "family" : "Visvanathan", "given" : "Sudha" }, { "family" : "Rahman", "given" : "Mahboob U" } ], "container-title" : "Arthritis and rheumatism", "id" : "ITEM-2", "issue" : "4", "issued" : { "date-parts" : [ [ "2008", "4" ] ] }, "note" : "\u003cm:note/\u003e", "page" : "964-75", "title" : "Golimumab in patients with active rheumatoid arthritis despite treatment with methotrexate: a randomized, double-blind, placebo-controlled, dose-ranging study.", "type" : "article-journal", "volume" : "58" }, "uris" : [ "http://www.mendeley.com/documents/?uuid=067b557c-f659-451c-bf34-9b03c3b7ab21" ] }, { "id" : "ITEM-3", "itemData" : { "DOI" : "10.1136/ard.2008.099010", "author" : [ { "family" : "Keystone", "given" : "E C" }, { "family" : "Genovese", "given" : "M C" }, { "family" : "Klareskog", "given" : "L" }, { "family" : "Hsia", "given" : "E C" }, { "family" : "Hall", "given" : "S T" }, { "family" : "Miranda", "given" : "P C" }, { "family" : "Pazdur", "given" : "J" }, { "family" : "Bae", "given" : "S-C" }, { "family" : "Palmer", "given" : "W" }, { "family" : "Zrubek", "given" : "J" }, { "family" : "Wiekowski", "given" : "M" }, { "family" : "Visvanathan", "given" : "S" }, { "family" : "Wu", "given" : "Z" }, { "family" : "Rahman", "given" : "M U" } ], "container-title" : "Annals of the rheumatic diseases", "id" : "ITEM-3", "issue" : "6", "issued" : { "date-parts" : [ [ "2009", "6" ] ] }, "note" : "\u003cm:note/\u003e", "page" : "789-96", "title" : "Golimumab, a human antibody to tumour necrosis factor {alpha} given by monthly subcutaneous injections, in active rheumatoid arthritis despite methotrexate therapy: the GO-FORWARD Study.", "type" : "article-journal", "volume" : "68" }, "uris" : [ "http://www.mendeley.com/documents/?uuid=c8c42e12-f68f-48f0-9f96-5831515ce013" ] } ], "mendeley" : { "previouslyFormattedCitation" : "[83\u201385]" }, "properties" : { "noteIndex" : 0 }, "schema" : "https://github.com/citation-style-language/schema/raw/master/csl-citation.json" } </w:instrText>
            </w:r>
            <w:r w:rsidR="00BB0325" w:rsidRPr="00CB3924">
              <w:rPr>
                <w:lang w:val="en-GB"/>
              </w:rPr>
              <w:fldChar w:fldCharType="separate"/>
            </w:r>
            <w:r w:rsidR="00CB3924" w:rsidRPr="00CB3924">
              <w:rPr>
                <w:lang w:val="en-GB"/>
              </w:rPr>
              <w:t>[83–85]</w:t>
            </w:r>
            <w:r w:rsidR="00BB0325" w:rsidRPr="00CB3924">
              <w:rPr>
                <w:lang w:val="en-GB"/>
              </w:rPr>
              <w:fldChar w:fldCharType="end"/>
            </w:r>
            <w:r w:rsidR="00CB3924" w:rsidRPr="00CB3924">
              <w:rPr>
                <w:lang w:val="en-GB"/>
              </w:rPr>
              <w:t xml:space="preserve"> and three </w:t>
            </w:r>
            <w:proofErr w:type="spellStart"/>
            <w:r w:rsidR="00CB3924" w:rsidRPr="00CB3924">
              <w:rPr>
                <w:lang w:val="en-GB"/>
              </w:rPr>
              <w:t>certolizumab</w:t>
            </w:r>
            <w:proofErr w:type="spellEnd"/>
            <w:r w:rsidR="00CB3924" w:rsidRPr="00CB3924">
              <w:rPr>
                <w:lang w:val="en-GB"/>
              </w:rPr>
              <w:t xml:space="preserve"> </w:t>
            </w:r>
            <w:r w:rsidR="00BB0325" w:rsidRPr="00CB3924">
              <w:rPr>
                <w:lang w:val="en-GB"/>
              </w:rPr>
              <w:fldChar w:fldCharType="begin" w:fldLock="1"/>
            </w:r>
            <w:r w:rsidR="00CB3924" w:rsidRPr="00CB3924">
              <w:rPr>
                <w:lang w:val="en-GB"/>
              </w:rPr>
              <w:instrText xml:space="preserve">ADDIN Mendeley Citation{446d33a6-987a-4f11-a011-70af1f4cf6df};{58adfe0c-0cde-4229-be03-d86c3a305a15};{6f7f8498-441e-4c1e-aaf5-f430343a4085} CSL_CITATION  { "citationItems" : [ { "id" : "ITEM-1", "itemData" : { "DOI" : "10.1136/ard.2008.099291", "author" : [ { "family" : "Fleischmann", "given" : "R" }, { "family" : "Vencovsky", "given" : "J" }, { "family" : "van Vollenhoven", "given" : "R F" }, { "family" : "Borenstein", "given" : "D" }, { "family" : "Box", "given" : "J" }, { "family" : "Coteur", "given" : "G" }, { "family" : "Goel", "given" : "N" }, { "family" : "Brezinschek", "given" : "H-P" }, { "family" : "Innes", "given" : "A" }, { "family" : "Strand", "given" : "V" } ], "container-title" : "Annals of the rheumatic diseases", "id" : "ITEM-1", "issue" : "6", "issued" : { "date-parts" : [ [ "2009", "6" ] ] }, "note" : "\u003cm:note/\u003e", "page" : "805-11", "title" : "Efficacy and safety of certolizumab pegol monotherapy every 4 weeks in patients with rheumatoid arthritis failing previous disease-modifying antirheumatic therapy: the FAST4WARD study.", "type" : "article-journal", "volume" : "68" }, "uris" : [ "http://www.mendeley.com/documents/?uuid=446d33a6-987a-4f11-a011-70af1f4cf6df" ] }, { "id" : "ITEM-2", "itemData" : { "DOI" : "10.1002/art.23964", "author" : [ { "family" : "Keystone", "given" : "Edward" }, { "family" : "Heijde", "given" : "D\u00e9sire\u00e9 Van Der" }, { "family" : "Mason", "given" : "David" }, { "family" : "Landew\u00e9", "given" : "Robert" }, { "family" : "Vollenhoven", "given" : "Ronald Van" }, { "family" : "Combe", "given" : "Bernard" }, { "family" : "Emery", "given" : "Paul" }, { "family" : "Strand", "given" : "Vibeke" }, { "family" : "Mease", "given" : "Philip" }, { "family" : "Desai", "given" : "Chintu" }, { "family" : "Pavelka", "given" : "Karel" } ], "container-title" : "Arthritis and rheumatism", "id" : "ITEM-2", "issue" : "11", "issued" : { "date-parts" : [ [ "2008", "11" ] ] }, "note" : "\u003cm:note/\u003e", "page" : "3319-29", "title" : "Certolizumab pegol plus methotrexate is significantly more effective than placebo plus methotrexate in active rheumatoid arthritis: findings of a fifty-two-week, phase III, multicenter, randomized, double-blind, placebo-controlled, parallel-group study.", "type" : "article-journal", "volume" : "58" }, "uris" : [ "http://www.mendeley.com/documents/?uuid=58adfe0c-0cde-4229-be03-d86c3a305a15" ] }, { "id" : "ITEM-3", "itemData" : { "DOI" : "10.1136/ard.2008.101659", "author" : [ { "family" : "Smolen", "given" : "J" }, { "family" : "Landew\u00e9", "given" : "R B" }, { "family" : "Mease", "given" : "P" }, { "family" : "Brzezicki", "given" : "J" }, { "family" : "Mason", "given" : "D" }, { "family" : "Luijtens", "given" : "K" }, { "family" : "van Vollenhoven", "given" : "R F" }, { "family" : "Kavanaugh", "given" : "A" }, { "family" : "Schiff", "given" : "M" }, { "family" : "Burmester", "given" : "G R" }, { "family" : "Strand", "given" : "V" }, { "family" : "Vencovsky", "given" : "J" }, { "family" : "van der Heijde", "given" : "D" } ], "container-title" : "Annals of the rheumatic diseases", "id" : "ITEM-3", "issue" : "6", "issued" : { "date-parts" : [ [ "2009", "6" ] ] }, "note" : "\u003cm:note/\u003e", "page" : "797-804", "title" : "Efficacy and safety of certolizumab pegol plus methotrexate in active rheumatoid arthritis: the RAPID 2 study. A randomised controlled trial.", "type" : "article-journal", "volume" : "68" }, "uris" : [ "http://www.mendeley.com/documents/?uuid=6f7f8498-441e-4c1e-aaf5-f430343a4085" ] } ], "mendeley" : { "previouslyFormattedCitation" : "[86\u201388]" }, "properties" : { "noteIndex" : 0 }, "schema" : "https://github.com/citation-style-language/schema/raw/master/csl-citation.json" } </w:instrText>
            </w:r>
            <w:r w:rsidR="00BB0325" w:rsidRPr="00CB3924">
              <w:rPr>
                <w:lang w:val="en-GB"/>
              </w:rPr>
              <w:fldChar w:fldCharType="separate"/>
            </w:r>
            <w:r w:rsidR="00CB3924" w:rsidRPr="00CB3924">
              <w:rPr>
                <w:lang w:val="en-GB"/>
              </w:rPr>
              <w:t>[86–88]</w:t>
            </w:r>
            <w:r w:rsidR="00BB0325" w:rsidRPr="00CB3924">
              <w:rPr>
                <w:lang w:val="en-GB"/>
              </w:rPr>
              <w:fldChar w:fldCharType="end"/>
            </w:r>
            <w:r w:rsidR="00CB3924" w:rsidRPr="00CB3924">
              <w:rPr>
                <w:vertAlign w:val="superscript"/>
                <w:lang w:val="en-GB"/>
              </w:rPr>
              <w:t xml:space="preserve"> </w:t>
            </w:r>
            <w:r w:rsidR="00CB3924" w:rsidRPr="00CB3924">
              <w:rPr>
                <w:lang w:val="en-GB"/>
              </w:rPr>
              <w:t>for the intervention. Overall, there were 6780 patients in the intervention and 3082 in the control group. The patients’ characteristics varied across the included trials with mean time since diagnosis ranging from 0.5 to 13 years, HAQ score from 1.25 to 1.88 and the number of swollen and tender joints from 11 and 14.03 to 24 and 37.2, respectively.</w:t>
            </w:r>
          </w:p>
          <w:p w:rsidR="00CB3924" w:rsidRPr="00CB3924" w:rsidRDefault="00CB3924" w:rsidP="00CB3924">
            <w:pPr>
              <w:rPr>
                <w:lang w:val="en-GB"/>
              </w:rPr>
            </w:pPr>
            <w:r w:rsidRPr="00CB3924">
              <w:rPr>
                <w:lang w:val="en-GB"/>
              </w:rPr>
              <w:t xml:space="preserve">The results of the primary efficacy endpoint suggest that </w:t>
            </w:r>
            <w:proofErr w:type="spellStart"/>
            <w:r w:rsidRPr="00CB3924">
              <w:rPr>
                <w:lang w:val="en-GB"/>
              </w:rPr>
              <w:t>infliximab</w:t>
            </w:r>
            <w:proofErr w:type="spellEnd"/>
            <w:r w:rsidRPr="00CB3924">
              <w:rPr>
                <w:lang w:val="en-GB"/>
              </w:rPr>
              <w:t xml:space="preserve"> and </w:t>
            </w:r>
            <w:proofErr w:type="spellStart"/>
            <w:r w:rsidRPr="00CB3924">
              <w:rPr>
                <w:lang w:val="en-GB"/>
              </w:rPr>
              <w:t>golimumab</w:t>
            </w:r>
            <w:proofErr w:type="spellEnd"/>
            <w:r w:rsidRPr="00CB3924">
              <w:rPr>
                <w:lang w:val="en-GB"/>
              </w:rPr>
              <w:t xml:space="preserve"> do not statistically significantly differ from control regarding efficacy in a comparison between any combination of TNF-blocker and any control. Even though the different settings and heterogeneity among the studies could have accounted for the result, the finding still raises questions. </w:t>
            </w:r>
            <w:proofErr w:type="spellStart"/>
            <w:r w:rsidRPr="00CB3924">
              <w:rPr>
                <w:lang w:val="en-GB"/>
              </w:rPr>
              <w:t>Golimumab</w:t>
            </w:r>
            <w:proofErr w:type="spellEnd"/>
            <w:r w:rsidRPr="00CB3924">
              <w:rPr>
                <w:lang w:val="en-GB"/>
              </w:rPr>
              <w:t xml:space="preserve"> appears to be inferior in efficacy to </w:t>
            </w:r>
            <w:proofErr w:type="spellStart"/>
            <w:r w:rsidRPr="00CB3924">
              <w:rPr>
                <w:lang w:val="en-GB"/>
              </w:rPr>
              <w:t>etanercept</w:t>
            </w:r>
            <w:proofErr w:type="spellEnd"/>
            <w:r w:rsidRPr="00CB3924">
              <w:rPr>
                <w:lang w:val="en-GB"/>
              </w:rPr>
              <w:t xml:space="preserve">, </w:t>
            </w:r>
            <w:proofErr w:type="spellStart"/>
            <w:r w:rsidRPr="00CB3924">
              <w:rPr>
                <w:lang w:val="en-GB"/>
              </w:rPr>
              <w:t>adalimumab</w:t>
            </w:r>
            <w:proofErr w:type="spellEnd"/>
            <w:r w:rsidRPr="00CB3924">
              <w:rPr>
                <w:lang w:val="en-GB"/>
              </w:rPr>
              <w:t xml:space="preserve"> and </w:t>
            </w:r>
            <w:proofErr w:type="spellStart"/>
            <w:r w:rsidRPr="00CB3924">
              <w:rPr>
                <w:lang w:val="en-GB"/>
              </w:rPr>
              <w:t>certolizumab</w:t>
            </w:r>
            <w:proofErr w:type="spellEnd"/>
            <w:r w:rsidRPr="00CB3924">
              <w:rPr>
                <w:lang w:val="en-GB"/>
              </w:rPr>
              <w:t xml:space="preserve"> even after accounting for the eventual bias. Patients in </w:t>
            </w:r>
            <w:proofErr w:type="spellStart"/>
            <w:r w:rsidRPr="00CB3924">
              <w:rPr>
                <w:lang w:val="en-GB"/>
              </w:rPr>
              <w:t>golimumab</w:t>
            </w:r>
            <w:proofErr w:type="spellEnd"/>
            <w:r w:rsidRPr="00CB3924">
              <w:rPr>
                <w:lang w:val="en-GB"/>
              </w:rPr>
              <w:t xml:space="preserve"> trials have lower count of swollen and tender joints as well as lower HAQ score, which may explain the results to some extent, although an ad hoc analysis on the effect of patient characteristics on efficacy showed no statistical significance. Disease duration seems to predict treatment response to </w:t>
            </w:r>
            <w:proofErr w:type="spellStart"/>
            <w:r w:rsidRPr="00CB3924">
              <w:rPr>
                <w:lang w:val="en-GB"/>
              </w:rPr>
              <w:t>adalimumab</w:t>
            </w:r>
            <w:proofErr w:type="spellEnd"/>
            <w:r w:rsidRPr="00CB3924">
              <w:rPr>
                <w:lang w:val="en-GB"/>
              </w:rPr>
              <w:t xml:space="preserve"> and </w:t>
            </w:r>
            <w:proofErr w:type="spellStart"/>
            <w:r w:rsidRPr="00CB3924">
              <w:rPr>
                <w:lang w:val="en-GB"/>
              </w:rPr>
              <w:t>infliximab</w:t>
            </w:r>
            <w:proofErr w:type="spellEnd"/>
            <w:r w:rsidRPr="00CB3924">
              <w:rPr>
                <w:lang w:val="en-GB"/>
              </w:rPr>
              <w:t xml:space="preserve"> at 12 months. </w:t>
            </w:r>
          </w:p>
          <w:p w:rsidR="00CB3924" w:rsidRPr="00CB3924" w:rsidRDefault="00CB3924" w:rsidP="00CB3924">
            <w:pPr>
              <w:rPr>
                <w:lang w:val="en-GB"/>
              </w:rPr>
            </w:pPr>
            <w:r w:rsidRPr="00CB3924">
              <w:rPr>
                <w:lang w:val="en-GB"/>
              </w:rPr>
              <w:t xml:space="preserve">In the second and third meta-analysis the efficacy of MTX and TNF-blocker </w:t>
            </w:r>
            <w:r w:rsidRPr="00CB3924">
              <w:rPr>
                <w:lang w:val="en-GB"/>
              </w:rPr>
              <w:lastRenderedPageBreak/>
              <w:t xml:space="preserve">combination was found to be superior to either MTX or TNF-blocker alone, respectively. The increase in the number of discontinuations due to adverse events (RR 1.37 95% 1.01-1.87) compared to MTX alone is likely to be acceptable. Patients with previous exposure to MTX were more likely to benefit from the combination therapy compared to MTX naïve patients. Compared to </w:t>
            </w:r>
            <w:proofErr w:type="spellStart"/>
            <w:r w:rsidRPr="00CB3924">
              <w:rPr>
                <w:lang w:val="en-GB"/>
              </w:rPr>
              <w:t>monotherapy</w:t>
            </w:r>
            <w:proofErr w:type="spellEnd"/>
            <w:r w:rsidRPr="00CB3924">
              <w:rPr>
                <w:lang w:val="en-GB"/>
              </w:rPr>
              <w:t xml:space="preserve"> with a TNF-blocker the safety of the combination treatment was equal or even improved regarding some aspects.</w:t>
            </w:r>
          </w:p>
          <w:p w:rsidR="00CB3924" w:rsidRPr="00CB3924" w:rsidRDefault="00CB3924" w:rsidP="00CB3924">
            <w:pPr>
              <w:rPr>
                <w:lang w:val="en-GB"/>
              </w:rPr>
            </w:pPr>
            <w:r w:rsidRPr="00CB3924">
              <w:rPr>
                <w:lang w:val="en-GB"/>
              </w:rPr>
              <w:t xml:space="preserve">The fourth meta-analysis found no statistical difference between MTX and TNF-blocker </w:t>
            </w:r>
            <w:proofErr w:type="spellStart"/>
            <w:r w:rsidRPr="00CB3924">
              <w:rPr>
                <w:lang w:val="en-GB"/>
              </w:rPr>
              <w:t>monotherapy</w:t>
            </w:r>
            <w:proofErr w:type="spellEnd"/>
            <w:r w:rsidRPr="00CB3924">
              <w:rPr>
                <w:lang w:val="en-GB"/>
              </w:rPr>
              <w:t xml:space="preserve"> and the fifth one confirmed that TNF-blocker </w:t>
            </w:r>
            <w:proofErr w:type="spellStart"/>
            <w:r w:rsidRPr="00CB3924">
              <w:rPr>
                <w:lang w:val="en-GB"/>
              </w:rPr>
              <w:t>monotherapy</w:t>
            </w:r>
            <w:proofErr w:type="spellEnd"/>
            <w:r w:rsidRPr="00CB3924">
              <w:rPr>
                <w:lang w:val="en-GB"/>
              </w:rPr>
              <w:t xml:space="preserve"> was more efficacious than placebo. The last secondary efficacy meta-analysis found little benefit from increasing the dose of TNF-blockers. </w:t>
            </w:r>
          </w:p>
          <w:p w:rsidR="00CB3924" w:rsidRPr="00CB3924" w:rsidRDefault="00CB3924" w:rsidP="00CB3924">
            <w:pPr>
              <w:rPr>
                <w:lang w:val="en-GB"/>
              </w:rPr>
            </w:pPr>
            <w:r w:rsidRPr="00CB3924">
              <w:rPr>
                <w:lang w:val="en-GB"/>
              </w:rPr>
              <w:t xml:space="preserve">In the first safety comparison between TNF-blockers and control the risk ratios reached statistical significance only in the number of patients experiencing injection or infusion reactions. Interestingly, </w:t>
            </w:r>
            <w:proofErr w:type="spellStart"/>
            <w:r w:rsidRPr="00CB3924">
              <w:rPr>
                <w:lang w:val="en-GB"/>
              </w:rPr>
              <w:t>infliximab</w:t>
            </w:r>
            <w:proofErr w:type="spellEnd"/>
            <w:r w:rsidRPr="00CB3924">
              <w:rPr>
                <w:lang w:val="en-GB"/>
              </w:rPr>
              <w:t xml:space="preserve">, </w:t>
            </w:r>
            <w:proofErr w:type="spellStart"/>
            <w:r w:rsidRPr="00CB3924">
              <w:rPr>
                <w:lang w:val="en-GB"/>
              </w:rPr>
              <w:t>adalimumab</w:t>
            </w:r>
            <w:proofErr w:type="spellEnd"/>
            <w:r w:rsidRPr="00CB3924">
              <w:rPr>
                <w:lang w:val="en-GB"/>
              </w:rPr>
              <w:t xml:space="preserve"> and </w:t>
            </w:r>
            <w:proofErr w:type="spellStart"/>
            <w:r w:rsidRPr="00CB3924">
              <w:rPr>
                <w:lang w:val="en-GB"/>
              </w:rPr>
              <w:t>certolizumab</w:t>
            </w:r>
            <w:proofErr w:type="spellEnd"/>
            <w:r w:rsidRPr="00CB3924">
              <w:rPr>
                <w:lang w:val="en-GB"/>
              </w:rPr>
              <w:t xml:space="preserve"> increased the risk of discontinuation of treatment due to adverse events, but </w:t>
            </w:r>
            <w:proofErr w:type="spellStart"/>
            <w:r w:rsidRPr="00CB3924">
              <w:rPr>
                <w:lang w:val="en-GB"/>
              </w:rPr>
              <w:t>etanercept</w:t>
            </w:r>
            <w:proofErr w:type="spellEnd"/>
            <w:r w:rsidRPr="00CB3924">
              <w:rPr>
                <w:lang w:val="en-GB"/>
              </w:rPr>
              <w:t xml:space="preserve"> made it less likely. </w:t>
            </w:r>
            <w:proofErr w:type="spellStart"/>
            <w:r w:rsidRPr="00CB3924">
              <w:rPr>
                <w:lang w:val="en-GB"/>
              </w:rPr>
              <w:t>Certolizumab</w:t>
            </w:r>
            <w:proofErr w:type="spellEnd"/>
            <w:r w:rsidRPr="00CB3924">
              <w:rPr>
                <w:lang w:val="en-GB"/>
              </w:rPr>
              <w:t xml:space="preserve"> was the only TNF-blocker which increased the likelihood of experiencing a serious adverse event. While TNF-blockers as a group increased the odds to experience an injection or infusion reaction this may not be the case with </w:t>
            </w:r>
            <w:proofErr w:type="spellStart"/>
            <w:r w:rsidRPr="00CB3924">
              <w:rPr>
                <w:lang w:val="en-GB"/>
              </w:rPr>
              <w:t>adalimumab</w:t>
            </w:r>
            <w:proofErr w:type="spellEnd"/>
            <w:r w:rsidRPr="00CB3924">
              <w:rPr>
                <w:lang w:val="en-GB"/>
              </w:rPr>
              <w:t xml:space="preserve"> and </w:t>
            </w:r>
            <w:proofErr w:type="spellStart"/>
            <w:r w:rsidRPr="00CB3924">
              <w:rPr>
                <w:lang w:val="en-GB"/>
              </w:rPr>
              <w:t>certolizumab</w:t>
            </w:r>
            <w:proofErr w:type="spellEnd"/>
            <w:r w:rsidRPr="00CB3924">
              <w:rPr>
                <w:lang w:val="en-GB"/>
              </w:rPr>
              <w:t>.</w:t>
            </w:r>
          </w:p>
          <w:p w:rsidR="00F27DFC" w:rsidRPr="001F4342" w:rsidRDefault="00F27DFC" w:rsidP="00D541D7">
            <w:pPr>
              <w:rPr>
                <w:lang w:val="en-GB"/>
              </w:rPr>
            </w:pPr>
            <w:r>
              <w:rPr>
                <w:lang w:val="en-GB"/>
              </w:rPr>
              <w:t>”</w:t>
            </w:r>
          </w:p>
        </w:tc>
        <w:tc>
          <w:tcPr>
            <w:tcW w:w="1831" w:type="dxa"/>
          </w:tcPr>
          <w:p w:rsidR="00F27DFC" w:rsidRDefault="00CB3924">
            <w:pPr>
              <w:spacing w:before="40" w:after="40"/>
              <w:rPr>
                <w:rFonts w:ascii="Calibri" w:hAnsi="Calibri"/>
                <w:bCs/>
                <w:color w:val="auto"/>
                <w:sz w:val="22"/>
                <w:szCs w:val="22"/>
              </w:rPr>
            </w:pPr>
            <w:r>
              <w:rPr>
                <w:rFonts w:ascii="Calibri" w:hAnsi="Calibri"/>
                <w:bCs/>
                <w:color w:val="auto"/>
                <w:sz w:val="22"/>
                <w:szCs w:val="22"/>
              </w:rPr>
              <w:lastRenderedPageBreak/>
              <w:t>9</w:t>
            </w:r>
            <w:r w:rsidR="00F27DFC">
              <w:rPr>
                <w:rFonts w:ascii="Calibri" w:hAnsi="Calibri"/>
                <w:bCs/>
                <w:color w:val="auto"/>
                <w:sz w:val="22"/>
                <w:szCs w:val="22"/>
              </w:rPr>
              <w:t>-10</w:t>
            </w:r>
          </w:p>
        </w:tc>
      </w:tr>
      <w:tr w:rsidR="00F27DFC" w:rsidTr="002279CA">
        <w:tc>
          <w:tcPr>
            <w:tcW w:w="279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lastRenderedPageBreak/>
              <w:t>Limitations</w:t>
            </w:r>
          </w:p>
        </w:tc>
        <w:tc>
          <w:tcPr>
            <w:tcW w:w="540" w:type="dxa"/>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25</w:t>
            </w:r>
          </w:p>
        </w:tc>
        <w:tc>
          <w:tcPr>
            <w:tcW w:w="8875" w:type="dxa"/>
          </w:tcPr>
          <w:p w:rsidR="00CB3924" w:rsidRPr="00CB3924" w:rsidRDefault="00F27DFC" w:rsidP="00CB3924">
            <w:pPr>
              <w:rPr>
                <w:lang w:val="en-GB"/>
              </w:rPr>
            </w:pPr>
            <w:r>
              <w:rPr>
                <w:lang w:val="en-GB"/>
              </w:rPr>
              <w:t>“</w:t>
            </w:r>
            <w:r w:rsidR="00CB3924" w:rsidRPr="00CB3924">
              <w:rPr>
                <w:lang w:val="en-GB"/>
              </w:rPr>
              <w:t xml:space="preserve">It could be asked, whether TNF-blocker naive and switchers should be included in the same review, because these patients could be very different. However, fifteen trials included in this systematic review stated previous TNF-blocker use as an exclusion criterion. In eight more trials it was unclear if switchers were included and only two </w:t>
            </w:r>
            <w:proofErr w:type="spellStart"/>
            <w:r w:rsidR="00CB3924" w:rsidRPr="00CB3924">
              <w:rPr>
                <w:lang w:val="en-GB"/>
              </w:rPr>
              <w:t>certolizumab</w:t>
            </w:r>
            <w:proofErr w:type="spellEnd"/>
            <w:r w:rsidR="00CB3924" w:rsidRPr="00CB3924">
              <w:rPr>
                <w:lang w:val="en-GB"/>
              </w:rPr>
              <w:t xml:space="preserve"> trials included switchers but excluded those who had had insufficient response to previous TNF-blocker treatment. However, the percentage of previous TNF-blocker users in these two trials was small (2 – 4 %) and a sensitivity analysis was performed. </w:t>
            </w:r>
          </w:p>
          <w:p w:rsidR="00CB3924" w:rsidRPr="00CB3924" w:rsidRDefault="00CB3924" w:rsidP="00CB3924">
            <w:pPr>
              <w:rPr>
                <w:lang w:val="en-GB"/>
              </w:rPr>
            </w:pPr>
            <w:r w:rsidRPr="00CB3924">
              <w:rPr>
                <w:lang w:val="en-GB"/>
              </w:rPr>
              <w:lastRenderedPageBreak/>
              <w:t xml:space="preserve">While broader comparisons with larger number of trials may be more likely to reach statistically significant results (1.00 not included in the confidence interval), their validity may be questioned. Heterogeneity introduced by combining the results of trials with different settings </w:t>
            </w:r>
            <w:proofErr w:type="gramStart"/>
            <w:r w:rsidRPr="00CB3924">
              <w:rPr>
                <w:lang w:val="en-GB"/>
              </w:rPr>
              <w:t>causes</w:t>
            </w:r>
            <w:proofErr w:type="gramEnd"/>
            <w:r w:rsidRPr="00CB3924">
              <w:rPr>
                <w:lang w:val="en-GB"/>
              </w:rPr>
              <w:t xml:space="preserve"> random effects model to calculate wider confidence intervals than fixed effects model would do. While reducing the possibility of type I error, it may introduce a type II error. Hence, the efficacies of TNF-blockers were compared with different controls, combinations and dosages in smaller, but more homogenous comparisons.</w:t>
            </w:r>
          </w:p>
          <w:p w:rsidR="00CB3924" w:rsidRPr="00CB3924" w:rsidRDefault="00CB3924" w:rsidP="00CB3924">
            <w:pPr>
              <w:rPr>
                <w:lang w:val="en-GB"/>
              </w:rPr>
            </w:pPr>
            <w:r w:rsidRPr="00CB3924">
              <w:rPr>
                <w:lang w:val="en-GB"/>
              </w:rPr>
              <w:t>Results of the sensitivity analyses revealed that the source of bias in the RCTs is as likely to lead to underestimation as overestimation of the risk difference between intervention and control groups. However, the homogeneity of study population, intervention, control, outcomes and study settings are likely to be more crucial to the validity of the meta-analysis. Length of exposure was not taken into account in the safety analyses, only the difference in risk ratios between intervention and control group.</w:t>
            </w:r>
          </w:p>
          <w:p w:rsidR="00CB3924" w:rsidRPr="00CB3924" w:rsidRDefault="00CB3924" w:rsidP="00CB3924">
            <w:pPr>
              <w:rPr>
                <w:lang w:val="en-GB"/>
              </w:rPr>
            </w:pPr>
            <w:r w:rsidRPr="00CB3924">
              <w:rPr>
                <w:lang w:val="en-GB"/>
              </w:rPr>
              <w:t xml:space="preserve">Our systematic review and meta-analysis has some limitations. The authors of the included trials were not contacted to retrieve unpublished data. Many studies that lasted for one year or more only reported results at 12 months. The meta-analyses would have been more powered if the efficacy results had been reported at all time points. Selective reporting was included in the evaluation for bias, but we were unable to identify any bias here. </w:t>
            </w:r>
          </w:p>
          <w:p w:rsidR="00F27DFC" w:rsidRPr="0070477F" w:rsidRDefault="00F27DFC" w:rsidP="008468EA">
            <w:pPr>
              <w:rPr>
                <w:lang w:val="en-GB"/>
              </w:rPr>
            </w:pPr>
            <w:r>
              <w:rPr>
                <w:lang w:val="en-GB"/>
              </w:rPr>
              <w:t xml:space="preserve">. </w:t>
            </w:r>
          </w:p>
          <w:p w:rsidR="00F27DFC" w:rsidRPr="001F4342" w:rsidRDefault="00F27DFC" w:rsidP="008468EA">
            <w:pPr>
              <w:rPr>
                <w:lang w:val="en-GB"/>
              </w:rPr>
            </w:pPr>
            <w:r>
              <w:rPr>
                <w:lang w:val="en-GB"/>
              </w:rPr>
              <w:t xml:space="preserve"> “</w:t>
            </w:r>
          </w:p>
        </w:tc>
        <w:tc>
          <w:tcPr>
            <w:tcW w:w="1831" w:type="dxa"/>
          </w:tcPr>
          <w:p w:rsidR="00F27DFC" w:rsidRDefault="00CB3924">
            <w:pPr>
              <w:spacing w:before="40" w:after="40"/>
              <w:rPr>
                <w:rFonts w:ascii="Calibri" w:hAnsi="Calibri"/>
                <w:bCs/>
                <w:color w:val="auto"/>
                <w:sz w:val="22"/>
                <w:szCs w:val="22"/>
              </w:rPr>
            </w:pPr>
            <w:r>
              <w:rPr>
                <w:rFonts w:ascii="Calibri" w:hAnsi="Calibri"/>
                <w:bCs/>
                <w:color w:val="auto"/>
                <w:sz w:val="22"/>
                <w:szCs w:val="22"/>
              </w:rPr>
              <w:lastRenderedPageBreak/>
              <w:t>9</w:t>
            </w:r>
          </w:p>
        </w:tc>
      </w:tr>
      <w:tr w:rsidR="00F27DFC" w:rsidTr="002279CA">
        <w:tc>
          <w:tcPr>
            <w:tcW w:w="2790" w:type="dxa"/>
            <w:tcBorders>
              <w:bottom w:val="double" w:sz="4" w:space="0" w:color="auto"/>
            </w:tcBorders>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lastRenderedPageBreak/>
              <w:t>Conclusions</w:t>
            </w:r>
          </w:p>
        </w:tc>
        <w:tc>
          <w:tcPr>
            <w:tcW w:w="540" w:type="dxa"/>
            <w:tcBorders>
              <w:bottom w:val="double" w:sz="4" w:space="0" w:color="auto"/>
            </w:tcBorders>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26</w:t>
            </w:r>
          </w:p>
        </w:tc>
        <w:tc>
          <w:tcPr>
            <w:tcW w:w="8875" w:type="dxa"/>
            <w:tcBorders>
              <w:bottom w:val="double" w:sz="4" w:space="0" w:color="auto"/>
            </w:tcBorders>
          </w:tcPr>
          <w:p w:rsidR="00CB3924" w:rsidRDefault="00F27DFC" w:rsidP="00CB3924">
            <w:pPr>
              <w:rPr>
                <w:lang w:val="en-GB"/>
              </w:rPr>
            </w:pPr>
            <w:r>
              <w:rPr>
                <w:lang w:val="en-GB"/>
              </w:rPr>
              <w:t>“</w:t>
            </w:r>
            <w:r w:rsidR="00CB3924" w:rsidRPr="00CB3924">
              <w:rPr>
                <w:lang w:val="en-GB"/>
              </w:rPr>
              <w:t xml:space="preserve">The novel TNF-blockers may offer an alternative to older substances but do not make them obsolete. On the contrary, </w:t>
            </w:r>
            <w:proofErr w:type="spellStart"/>
            <w:r w:rsidR="00CB3924" w:rsidRPr="00CB3924">
              <w:rPr>
                <w:lang w:val="en-GB"/>
              </w:rPr>
              <w:t>etanercept</w:t>
            </w:r>
            <w:proofErr w:type="spellEnd"/>
            <w:r w:rsidR="00CB3924" w:rsidRPr="00CB3924">
              <w:rPr>
                <w:lang w:val="en-GB"/>
              </w:rPr>
              <w:t xml:space="preserve"> may be the best choice when taking into account safety profiles of the TNF-blockers. </w:t>
            </w:r>
            <w:proofErr w:type="spellStart"/>
            <w:r w:rsidR="00CB3924" w:rsidRPr="00CB3924">
              <w:rPr>
                <w:lang w:val="en-GB"/>
              </w:rPr>
              <w:t>Infliximab</w:t>
            </w:r>
            <w:proofErr w:type="spellEnd"/>
            <w:r w:rsidR="00CB3924" w:rsidRPr="00CB3924">
              <w:rPr>
                <w:lang w:val="en-GB"/>
              </w:rPr>
              <w:t xml:space="preserve">, </w:t>
            </w:r>
            <w:proofErr w:type="spellStart"/>
            <w:r w:rsidR="00CB3924" w:rsidRPr="00CB3924">
              <w:rPr>
                <w:lang w:val="en-GB"/>
              </w:rPr>
              <w:t>etanercept</w:t>
            </w:r>
            <w:proofErr w:type="spellEnd"/>
            <w:r w:rsidR="00CB3924" w:rsidRPr="00CB3924">
              <w:rPr>
                <w:lang w:val="en-GB"/>
              </w:rPr>
              <w:t xml:space="preserve"> and </w:t>
            </w:r>
            <w:proofErr w:type="spellStart"/>
            <w:r w:rsidR="00CB3924" w:rsidRPr="00CB3924">
              <w:rPr>
                <w:lang w:val="en-GB"/>
              </w:rPr>
              <w:t>adalimumab</w:t>
            </w:r>
            <w:proofErr w:type="spellEnd"/>
            <w:r w:rsidR="00CB3924" w:rsidRPr="00CB3924">
              <w:rPr>
                <w:lang w:val="en-GB"/>
              </w:rPr>
              <w:t xml:space="preserve"> have been in clinical use for years with extensive amount of post-marketing data available. More post-marketing information is needed on </w:t>
            </w:r>
            <w:proofErr w:type="spellStart"/>
            <w:r w:rsidR="00CB3924" w:rsidRPr="00CB3924">
              <w:rPr>
                <w:lang w:val="en-GB"/>
              </w:rPr>
              <w:t>certolizumab</w:t>
            </w:r>
            <w:proofErr w:type="spellEnd"/>
            <w:r w:rsidR="00CB3924" w:rsidRPr="00CB3924">
              <w:rPr>
                <w:lang w:val="en-GB"/>
              </w:rPr>
              <w:t xml:space="preserve"> and </w:t>
            </w:r>
            <w:proofErr w:type="spellStart"/>
            <w:r w:rsidR="00CB3924" w:rsidRPr="00CB3924">
              <w:rPr>
                <w:lang w:val="en-GB"/>
              </w:rPr>
              <w:t>golimumab</w:t>
            </w:r>
            <w:proofErr w:type="spellEnd"/>
            <w:r w:rsidR="00CB3924" w:rsidRPr="00CB3924">
              <w:rPr>
                <w:lang w:val="en-GB"/>
              </w:rPr>
              <w:t xml:space="preserve"> for comprehensive </w:t>
            </w:r>
            <w:proofErr w:type="spellStart"/>
            <w:r w:rsidR="00CB3924" w:rsidRPr="00CB3924">
              <w:rPr>
                <w:lang w:val="en-GB"/>
              </w:rPr>
              <w:lastRenderedPageBreak/>
              <w:t>pharmacovigilance</w:t>
            </w:r>
            <w:proofErr w:type="spellEnd"/>
            <w:r w:rsidR="00CB3924" w:rsidRPr="00CB3924">
              <w:rPr>
                <w:lang w:val="en-GB"/>
              </w:rPr>
              <w:t xml:space="preserve">. </w:t>
            </w:r>
          </w:p>
          <w:p w:rsidR="00CB3924" w:rsidRPr="00CB3924" w:rsidRDefault="00CB3924" w:rsidP="00CB3924">
            <w:pPr>
              <w:rPr>
                <w:lang w:val="en-GB"/>
              </w:rPr>
            </w:pPr>
            <w:r w:rsidRPr="00CB3924">
              <w:rPr>
                <w:lang w:val="en-GB"/>
              </w:rPr>
              <w:t>The annual medication costs of TNF-blockers are more than 10 000€ while the MTX treatment costs less than 100€ per ye</w:t>
            </w:r>
            <w:r w:rsidR="003902F4">
              <w:rPr>
                <w:lang w:val="en-GB"/>
              </w:rPr>
              <w:t>ar. Subgroup analysis in table 3</w:t>
            </w:r>
            <w:r w:rsidRPr="00CB3924">
              <w:rPr>
                <w:lang w:val="en-GB"/>
              </w:rPr>
              <w:t xml:space="preserve"> suggests that considering the high expenses of biologics, the treatment of RA could be initiated with MTX while combining TNF-blockers to ongoing treatment in patients with insufficient response to MTX. Even though safety was not compromised, it might not be cost-effective to use high doses of TNF-blockers. Given the limited resources in healthcare systems our results may help clinicians and decision makers to get most out of the expensive, but efficacious treatment.</w:t>
            </w:r>
          </w:p>
          <w:p w:rsidR="00CB3924" w:rsidRPr="00CB3924" w:rsidRDefault="00CB3924" w:rsidP="00CB3924">
            <w:pPr>
              <w:rPr>
                <w:lang w:val="en-GB"/>
              </w:rPr>
            </w:pPr>
            <w:r w:rsidRPr="00CB3924">
              <w:rPr>
                <w:lang w:val="en-GB"/>
              </w:rPr>
              <w:t xml:space="preserve">The next step could be to analyze the efficacy and safety of not just TNF-blockers, but all biologics in a large systematic review and meta-analysis. One randomized clinical trial included in our systematic review actually compared </w:t>
            </w:r>
            <w:proofErr w:type="spellStart"/>
            <w:r w:rsidRPr="00CB3924">
              <w:rPr>
                <w:lang w:val="en-GB"/>
              </w:rPr>
              <w:t>abatacept</w:t>
            </w:r>
            <w:proofErr w:type="spellEnd"/>
            <w:r w:rsidRPr="00CB3924">
              <w:rPr>
                <w:lang w:val="en-GB"/>
              </w:rPr>
              <w:t xml:space="preserve"> to </w:t>
            </w:r>
            <w:proofErr w:type="spellStart"/>
            <w:r w:rsidRPr="00CB3924">
              <w:rPr>
                <w:lang w:val="en-GB"/>
              </w:rPr>
              <w:t>infliximab</w:t>
            </w:r>
            <w:proofErr w:type="spellEnd"/>
            <w:r w:rsidRPr="00CB3924">
              <w:rPr>
                <w:lang w:val="en-GB"/>
              </w:rPr>
              <w:t xml:space="preserve"> </w:t>
            </w:r>
            <w:r w:rsidR="00BB0325" w:rsidRPr="00CB3924">
              <w:rPr>
                <w:lang w:val="en-GB"/>
              </w:rPr>
              <w:fldChar w:fldCharType="begin" w:fldLock="1"/>
            </w:r>
            <w:r w:rsidRPr="00CB3924">
              <w:rPr>
                <w:lang w:val="en-GB"/>
              </w:rPr>
              <w:instrText xml:space="preserve">ADDIN Mendeley Citation{8a301a90-6f43-4aa2-a6a1-82b3853c39d7} CSL_CITATION  { "citationItems" : [ { "id" : "ITEM-1", "itemData" : { "DOI" : "10.1136/ard.2007.080002", "author" : [ { "family" : "Schiff", "given" : "M" }, { "family" : "Keiserman", "given" : "M" }, { "family" : "Codding", "given" : "C" }, { "family" : "Songcharoen", "given" : "S" }, { "family" : "Berman", "given" : "A" }, { "family" : "Nayiager", "given" : "S" }, { "family" : "Saldate", "given" : "C" }, { "family" : "Li", "given" : "T" }, { "family" : "Aranda", "given" : "R" }, { "family" : "Becker", "given" : "J-C" }, { "family" : "Lin", "given" : "C" }, { "family" : "Cornet", "given" : "P L N" }, { "family" : "Dougados", "given" : "M" } ], "container-title" : "Annals of the rheumatic diseases", "id" : "ITEM-1", "issue" : "8", "issued" : { "date-parts" : [ [ "2008", "8" ] ] }, "note" : "\u003cm:note\u003e\u003c/m:note\u003e", "page" : "1096-103", "title" : "Efficacy and safety of abatacept or infliximab vs placebo in ATTEST: a phase III, multi-centre, randomised, double-blind, placebo-controlled study in patients with rheumatoid arthritis and an inadequate response to methotrexate.", "type" : "article-journal", "volume" : "67" }, "uris" : [ "http://www.mendeley.com/documents/?uuid=8a301a90-6f43-4aa2-a6a1-82b3853c39d7" ] } ], "mendeley" : { "previouslyFormattedCitation" : "[55]" }, "properties" : { "noteIndex" : 0 }, "schema" : "https://github.com/citation-style-language/schema/raw/master/csl-citation.json" } </w:instrText>
            </w:r>
            <w:r w:rsidR="00BB0325" w:rsidRPr="00CB3924">
              <w:rPr>
                <w:lang w:val="en-GB"/>
              </w:rPr>
              <w:fldChar w:fldCharType="separate"/>
            </w:r>
            <w:r w:rsidRPr="00CB3924">
              <w:rPr>
                <w:lang w:val="en-GB"/>
              </w:rPr>
              <w:t>[55]</w:t>
            </w:r>
            <w:r w:rsidR="00BB0325" w:rsidRPr="00CB3924">
              <w:rPr>
                <w:lang w:val="en-GB"/>
              </w:rPr>
              <w:fldChar w:fldCharType="end"/>
            </w:r>
            <w:r w:rsidRPr="00CB3924">
              <w:rPr>
                <w:lang w:val="en-GB"/>
              </w:rPr>
              <w:t>. However, a systematic review is indicated to summarise the evidence.</w:t>
            </w:r>
          </w:p>
          <w:p w:rsidR="00F27DFC" w:rsidRPr="001F4342" w:rsidRDefault="00F27DFC" w:rsidP="00D541D7">
            <w:pPr>
              <w:rPr>
                <w:lang w:val="en-GB"/>
              </w:rPr>
            </w:pPr>
            <w:r>
              <w:rPr>
                <w:lang w:val="en-GB"/>
              </w:rPr>
              <w:t>”</w:t>
            </w:r>
          </w:p>
        </w:tc>
        <w:tc>
          <w:tcPr>
            <w:tcW w:w="1831" w:type="dxa"/>
            <w:tcBorders>
              <w:bottom w:val="double" w:sz="4" w:space="0" w:color="auto"/>
            </w:tcBorders>
          </w:tcPr>
          <w:p w:rsidR="00F27DFC" w:rsidRDefault="00CB3924" w:rsidP="00CB3924">
            <w:pPr>
              <w:spacing w:before="40" w:after="40"/>
              <w:rPr>
                <w:rFonts w:ascii="Calibri" w:hAnsi="Calibri"/>
                <w:bCs/>
                <w:color w:val="auto"/>
                <w:sz w:val="22"/>
                <w:szCs w:val="22"/>
              </w:rPr>
            </w:pPr>
            <w:r>
              <w:rPr>
                <w:rFonts w:ascii="Calibri" w:hAnsi="Calibri"/>
                <w:bCs/>
                <w:color w:val="auto"/>
                <w:sz w:val="22"/>
                <w:szCs w:val="22"/>
              </w:rPr>
              <w:lastRenderedPageBreak/>
              <w:t>11</w:t>
            </w:r>
          </w:p>
        </w:tc>
      </w:tr>
      <w:tr w:rsidR="00F27DFC" w:rsidTr="002279CA">
        <w:tc>
          <w:tcPr>
            <w:tcW w:w="14036" w:type="dxa"/>
            <w:gridSpan w:val="4"/>
            <w:tcBorders>
              <w:top w:val="double" w:sz="4" w:space="0" w:color="auto"/>
            </w:tcBorders>
            <w:shd w:val="clear" w:color="auto" w:fill="FFFFCC"/>
          </w:tcPr>
          <w:p w:rsidR="00F27DFC" w:rsidRDefault="00F27DFC">
            <w:pPr>
              <w:pStyle w:val="Otsikko9"/>
              <w:keepNext w:val="0"/>
              <w:tabs>
                <w:tab w:val="decimal" w:pos="295"/>
              </w:tabs>
              <w:spacing w:after="20"/>
              <w:rPr>
                <w:rFonts w:ascii="Calibri" w:hAnsi="Calibri"/>
                <w:color w:val="auto"/>
                <w:sz w:val="22"/>
                <w:szCs w:val="22"/>
              </w:rPr>
            </w:pPr>
            <w:r>
              <w:rPr>
                <w:rFonts w:ascii="Calibri" w:hAnsi="Calibri"/>
                <w:color w:val="auto"/>
                <w:sz w:val="22"/>
                <w:szCs w:val="22"/>
              </w:rPr>
              <w:lastRenderedPageBreak/>
              <w:t>FUNDING</w:t>
            </w:r>
          </w:p>
        </w:tc>
      </w:tr>
      <w:tr w:rsidR="00F27DFC" w:rsidTr="002279CA">
        <w:tc>
          <w:tcPr>
            <w:tcW w:w="2790" w:type="dxa"/>
            <w:tcBorders>
              <w:bottom w:val="double" w:sz="4" w:space="0" w:color="auto"/>
            </w:tcBorders>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 xml:space="preserve">Funding </w:t>
            </w:r>
          </w:p>
        </w:tc>
        <w:tc>
          <w:tcPr>
            <w:tcW w:w="540" w:type="dxa"/>
            <w:tcBorders>
              <w:bottom w:val="double" w:sz="4" w:space="0" w:color="auto"/>
            </w:tcBorders>
          </w:tcPr>
          <w:p w:rsidR="00F27DFC" w:rsidRDefault="00F27DFC">
            <w:pPr>
              <w:tabs>
                <w:tab w:val="decimal" w:pos="295"/>
              </w:tabs>
              <w:spacing w:before="40" w:after="40"/>
              <w:rPr>
                <w:rFonts w:ascii="Calibri" w:hAnsi="Calibri"/>
                <w:bCs/>
                <w:color w:val="auto"/>
                <w:sz w:val="22"/>
                <w:szCs w:val="22"/>
              </w:rPr>
            </w:pPr>
            <w:r>
              <w:rPr>
                <w:rFonts w:ascii="Calibri" w:hAnsi="Calibri"/>
                <w:bCs/>
                <w:color w:val="auto"/>
                <w:sz w:val="22"/>
                <w:szCs w:val="22"/>
              </w:rPr>
              <w:t>27</w:t>
            </w:r>
          </w:p>
        </w:tc>
        <w:tc>
          <w:tcPr>
            <w:tcW w:w="8875" w:type="dxa"/>
            <w:tcBorders>
              <w:bottom w:val="double" w:sz="4" w:space="0" w:color="auto"/>
            </w:tcBorders>
          </w:tcPr>
          <w:p w:rsidR="00F27DFC" w:rsidRDefault="00F27DFC">
            <w:pPr>
              <w:spacing w:before="40" w:after="40"/>
              <w:rPr>
                <w:rFonts w:ascii="Calibri" w:hAnsi="Calibri"/>
                <w:bCs/>
                <w:color w:val="auto"/>
                <w:sz w:val="22"/>
                <w:szCs w:val="22"/>
              </w:rPr>
            </w:pPr>
            <w:r>
              <w:rPr>
                <w:lang w:val="en-GB"/>
              </w:rPr>
              <w:t>“This study was support by an unlimited grant from the ORTON Orthopaedic Hospital of the ORTON Foundation and by the National PhD Graduate School in Musculoskeletal Diseases and Biomaterials.”</w:t>
            </w:r>
          </w:p>
        </w:tc>
        <w:tc>
          <w:tcPr>
            <w:tcW w:w="1831" w:type="dxa"/>
            <w:tcBorders>
              <w:bottom w:val="double" w:sz="4" w:space="0" w:color="auto"/>
            </w:tcBorders>
          </w:tcPr>
          <w:p w:rsidR="00F27DFC" w:rsidRDefault="00F27DFC">
            <w:pPr>
              <w:spacing w:before="40" w:after="40"/>
              <w:rPr>
                <w:rFonts w:ascii="Calibri" w:hAnsi="Calibri"/>
                <w:bCs/>
                <w:color w:val="auto"/>
                <w:sz w:val="22"/>
                <w:szCs w:val="22"/>
              </w:rPr>
            </w:pPr>
            <w:r>
              <w:rPr>
                <w:rFonts w:ascii="Calibri" w:hAnsi="Calibri"/>
                <w:bCs/>
                <w:color w:val="auto"/>
                <w:sz w:val="22"/>
                <w:szCs w:val="22"/>
              </w:rPr>
              <w:t>11</w:t>
            </w:r>
          </w:p>
        </w:tc>
      </w:tr>
    </w:tbl>
    <w:p w:rsidR="00F27DFC" w:rsidRDefault="00F27DFC" w:rsidP="00B2308C">
      <w:pPr>
        <w:rPr>
          <w:rFonts w:ascii="Calibri" w:hAnsi="Calibri"/>
          <w:color w:val="auto"/>
          <w:sz w:val="22"/>
          <w:szCs w:val="22"/>
        </w:rPr>
      </w:pPr>
    </w:p>
    <w:sectPr w:rsidR="00F27DFC" w:rsidSect="002279CA">
      <w:footerReference w:type="even" r:id="rId7"/>
      <w:footerReference w:type="default" r:id="rId8"/>
      <w:pgSz w:w="16840" w:h="11907" w:orient="landscape" w:code="9"/>
      <w:pgMar w:top="1418" w:right="1440" w:bottom="1418" w:left="1440" w:header="720" w:footer="720" w:gutter="0"/>
      <w:cols w:space="720"/>
      <w:docGrid w:linePitch="3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A1B" w:rsidRDefault="00493A1B">
      <w:r>
        <w:separator/>
      </w:r>
    </w:p>
  </w:endnote>
  <w:endnote w:type="continuationSeparator" w:id="0">
    <w:p w:rsidR="00493A1B" w:rsidRDefault="00493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FC" w:rsidRDefault="00BB0325">
    <w:pPr>
      <w:pStyle w:val="Alatunniste"/>
      <w:framePr w:wrap="around" w:vAnchor="text" w:hAnchor="margin" w:xAlign="center" w:y="1"/>
      <w:rPr>
        <w:rStyle w:val="Sivunumero"/>
      </w:rPr>
    </w:pPr>
    <w:r>
      <w:rPr>
        <w:rStyle w:val="Sivunumero"/>
      </w:rPr>
      <w:fldChar w:fldCharType="begin"/>
    </w:r>
    <w:r w:rsidR="00F27DFC">
      <w:rPr>
        <w:rStyle w:val="Sivunumero"/>
      </w:rPr>
      <w:instrText xml:space="preserve">PAGE  </w:instrText>
    </w:r>
    <w:r>
      <w:rPr>
        <w:rStyle w:val="Sivunumero"/>
      </w:rPr>
      <w:fldChar w:fldCharType="end"/>
    </w:r>
  </w:p>
  <w:p w:rsidR="00F27DFC" w:rsidRDefault="00F27DFC">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FC" w:rsidRDefault="00F27DFC">
    <w:pPr>
      <w:pStyle w:val="Alatunniste"/>
      <w:framePr w:wrap="around" w:vAnchor="text" w:hAnchor="margin" w:xAlign="center" w:y="1"/>
      <w:jc w:val="center"/>
      <w:rPr>
        <w:rStyle w:val="Sivunumero"/>
        <w:b/>
        <w:color w:val="auto"/>
        <w:sz w:val="20"/>
      </w:rPr>
    </w:pPr>
    <w:r>
      <w:rPr>
        <w:rStyle w:val="Sivunumero"/>
        <w:b/>
        <w:color w:val="auto"/>
        <w:sz w:val="20"/>
      </w:rPr>
      <w:t xml:space="preserve">Page </w:t>
    </w:r>
    <w:r w:rsidR="00BB0325">
      <w:rPr>
        <w:rStyle w:val="Sivunumero"/>
        <w:b/>
        <w:color w:val="auto"/>
        <w:sz w:val="20"/>
      </w:rPr>
      <w:fldChar w:fldCharType="begin"/>
    </w:r>
    <w:r>
      <w:rPr>
        <w:rStyle w:val="Sivunumero"/>
        <w:b/>
        <w:color w:val="auto"/>
        <w:sz w:val="20"/>
      </w:rPr>
      <w:instrText xml:space="preserve">PAGE  </w:instrText>
    </w:r>
    <w:r w:rsidR="00BB0325">
      <w:rPr>
        <w:rStyle w:val="Sivunumero"/>
        <w:b/>
        <w:color w:val="auto"/>
        <w:sz w:val="20"/>
      </w:rPr>
      <w:fldChar w:fldCharType="separate"/>
    </w:r>
    <w:r w:rsidR="00184149">
      <w:rPr>
        <w:rStyle w:val="Sivunumero"/>
        <w:b/>
        <w:noProof/>
        <w:color w:val="auto"/>
        <w:sz w:val="20"/>
      </w:rPr>
      <w:t>3</w:t>
    </w:r>
    <w:r w:rsidR="00BB0325">
      <w:rPr>
        <w:rStyle w:val="Sivunumero"/>
        <w:b/>
        <w:color w:val="auto"/>
        <w:sz w:val="20"/>
      </w:rPr>
      <w:fldChar w:fldCharType="end"/>
    </w:r>
  </w:p>
  <w:p w:rsidR="00F27DFC" w:rsidRDefault="00F27DFC">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A1B" w:rsidRDefault="00493A1B">
      <w:r>
        <w:separator/>
      </w:r>
    </w:p>
  </w:footnote>
  <w:footnote w:type="continuationSeparator" w:id="0">
    <w:p w:rsidR="00493A1B" w:rsidRDefault="00493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0DD"/>
    <w:multiLevelType w:val="hybridMultilevel"/>
    <w:tmpl w:val="D00623B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13B40FA5"/>
    <w:multiLevelType w:val="multilevel"/>
    <w:tmpl w:val="02363CF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7A26121"/>
    <w:multiLevelType w:val="hybridMultilevel"/>
    <w:tmpl w:val="B5806D16"/>
    <w:lvl w:ilvl="0" w:tplc="65E6C424">
      <w:start w:val="1"/>
      <w:numFmt w:val="decimal"/>
      <w:lvlText w:val="%1."/>
      <w:lvlJc w:val="left"/>
      <w:pPr>
        <w:tabs>
          <w:tab w:val="num" w:pos="951"/>
        </w:tabs>
        <w:ind w:left="951"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87869E8"/>
    <w:multiLevelType w:val="hybridMultilevel"/>
    <w:tmpl w:val="65CE0C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A4756D"/>
    <w:multiLevelType w:val="hybridMultilevel"/>
    <w:tmpl w:val="6D84C1A4"/>
    <w:lvl w:ilvl="0" w:tplc="F05CA410">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4DC0ED3"/>
    <w:multiLevelType w:val="hybridMultilevel"/>
    <w:tmpl w:val="0D167EDA"/>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B394920"/>
    <w:multiLevelType w:val="hybridMultilevel"/>
    <w:tmpl w:val="3C3C1E9A"/>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nsid w:val="41145313"/>
    <w:multiLevelType w:val="multilevel"/>
    <w:tmpl w:val="1E9E0E52"/>
    <w:lvl w:ilvl="0">
      <w:start w:val="1"/>
      <w:numFmt w:val="decimal"/>
      <w:lvlText w:val="%1."/>
      <w:lvlJc w:val="left"/>
      <w:pPr>
        <w:tabs>
          <w:tab w:val="num" w:pos="951"/>
        </w:tabs>
        <w:ind w:left="951"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5C84262"/>
    <w:multiLevelType w:val="hybridMultilevel"/>
    <w:tmpl w:val="17FEA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597242"/>
    <w:multiLevelType w:val="hybridMultilevel"/>
    <w:tmpl w:val="A3044F8C"/>
    <w:lvl w:ilvl="0" w:tplc="1F38F706">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D4301DF"/>
    <w:multiLevelType w:val="hybridMultilevel"/>
    <w:tmpl w:val="C83E7EA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6F6F485A"/>
    <w:multiLevelType w:val="hybridMultilevel"/>
    <w:tmpl w:val="2ED2B0DE"/>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03039B5"/>
    <w:multiLevelType w:val="hybridMultilevel"/>
    <w:tmpl w:val="82DA51B4"/>
    <w:lvl w:ilvl="0" w:tplc="1F38F706">
      <w:start w:val="2"/>
      <w:numFmt w:val="decimal"/>
      <w:lvlText w:val="%1."/>
      <w:lvlJc w:val="left"/>
      <w:pPr>
        <w:tabs>
          <w:tab w:val="num" w:pos="951"/>
        </w:tabs>
        <w:ind w:left="951"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8"/>
  </w:num>
  <w:num w:numId="4">
    <w:abstractNumId w:val="9"/>
  </w:num>
  <w:num w:numId="5">
    <w:abstractNumId w:val="11"/>
  </w:num>
  <w:num w:numId="6">
    <w:abstractNumId w:val="4"/>
  </w:num>
  <w:num w:numId="7">
    <w:abstractNumId w:val="12"/>
  </w:num>
  <w:num w:numId="8">
    <w:abstractNumId w:val="1"/>
  </w:num>
  <w:num w:numId="9">
    <w:abstractNumId w:val="7"/>
  </w:num>
  <w:num w:numId="10">
    <w:abstractNumId w:val="2"/>
  </w:num>
  <w:num w:numId="11">
    <w:abstractNumId w:val="5"/>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287"/>
  <w:noPunctuationKerning/>
  <w:characterSpacingControl w:val="doNotCompress"/>
  <w:footnotePr>
    <w:footnote w:id="-1"/>
    <w:footnote w:id="0"/>
  </w:footnotePr>
  <w:endnotePr>
    <w:endnote w:id="-1"/>
    <w:endnote w:id="0"/>
  </w:endnotePr>
  <w:compat/>
  <w:rsids>
    <w:rsidRoot w:val="00B2308C"/>
    <w:rsid w:val="00064F56"/>
    <w:rsid w:val="000818AF"/>
    <w:rsid w:val="00184149"/>
    <w:rsid w:val="001D36A3"/>
    <w:rsid w:val="001D7038"/>
    <w:rsid w:val="001F4342"/>
    <w:rsid w:val="002279CA"/>
    <w:rsid w:val="002D0A16"/>
    <w:rsid w:val="00313299"/>
    <w:rsid w:val="00375004"/>
    <w:rsid w:val="003902F4"/>
    <w:rsid w:val="0041485F"/>
    <w:rsid w:val="00466713"/>
    <w:rsid w:val="004833F6"/>
    <w:rsid w:val="00493A1B"/>
    <w:rsid w:val="004C2E2E"/>
    <w:rsid w:val="0051787E"/>
    <w:rsid w:val="005722A8"/>
    <w:rsid w:val="0057737F"/>
    <w:rsid w:val="005D686B"/>
    <w:rsid w:val="005E3C9D"/>
    <w:rsid w:val="00650A21"/>
    <w:rsid w:val="006544D2"/>
    <w:rsid w:val="006603CA"/>
    <w:rsid w:val="006A19F1"/>
    <w:rsid w:val="0070477F"/>
    <w:rsid w:val="00706202"/>
    <w:rsid w:val="00727A3C"/>
    <w:rsid w:val="00764BC6"/>
    <w:rsid w:val="00841A5F"/>
    <w:rsid w:val="008468EA"/>
    <w:rsid w:val="008F2B03"/>
    <w:rsid w:val="009300CB"/>
    <w:rsid w:val="009B712A"/>
    <w:rsid w:val="009F4824"/>
    <w:rsid w:val="00A01F8A"/>
    <w:rsid w:val="00A44130"/>
    <w:rsid w:val="00A8390B"/>
    <w:rsid w:val="00AE1F4E"/>
    <w:rsid w:val="00AF3924"/>
    <w:rsid w:val="00B2308C"/>
    <w:rsid w:val="00B415E8"/>
    <w:rsid w:val="00BB0325"/>
    <w:rsid w:val="00BE65E6"/>
    <w:rsid w:val="00BF216C"/>
    <w:rsid w:val="00C162FE"/>
    <w:rsid w:val="00C5664B"/>
    <w:rsid w:val="00C95E9D"/>
    <w:rsid w:val="00CB3924"/>
    <w:rsid w:val="00CE756C"/>
    <w:rsid w:val="00D477A8"/>
    <w:rsid w:val="00D541D7"/>
    <w:rsid w:val="00D57A75"/>
    <w:rsid w:val="00D76130"/>
    <w:rsid w:val="00DE4777"/>
    <w:rsid w:val="00E02041"/>
    <w:rsid w:val="00E74FBD"/>
    <w:rsid w:val="00EE5500"/>
    <w:rsid w:val="00F27DFC"/>
    <w:rsid w:val="00F37829"/>
    <w:rsid w:val="00FC5645"/>
    <w:rsid w:val="00FD192C"/>
  </w:rsids>
  <m:mathPr>
    <m:mathFont m:val="Cambria Math"/>
    <m:brkBin m:val="before"/>
    <m:brkBinSub m:val="--"/>
    <m:smallFrac m:val="off"/>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AF3924"/>
    <w:rPr>
      <w:rFonts w:ascii="Garamond" w:hAnsi="Garamond"/>
      <w:color w:val="008000"/>
      <w:w w:val="120"/>
      <w:sz w:val="24"/>
      <w:szCs w:val="24"/>
      <w:lang w:val="en-CA" w:eastAsia="en-US"/>
    </w:rPr>
  </w:style>
  <w:style w:type="paragraph" w:styleId="Otsikko1">
    <w:name w:val="heading 1"/>
    <w:basedOn w:val="Normaali"/>
    <w:next w:val="Normaali"/>
    <w:qFormat/>
    <w:rsid w:val="00AF3924"/>
    <w:pPr>
      <w:keepNext/>
      <w:outlineLvl w:val="0"/>
    </w:pPr>
    <w:rPr>
      <w:b/>
      <w:bCs/>
    </w:rPr>
  </w:style>
  <w:style w:type="paragraph" w:styleId="Otsikko5">
    <w:name w:val="heading 5"/>
    <w:basedOn w:val="Normaali"/>
    <w:next w:val="Normaali"/>
    <w:qFormat/>
    <w:rsid w:val="00AF3924"/>
    <w:pPr>
      <w:keepNext/>
      <w:spacing w:before="40" w:after="40"/>
      <w:outlineLvl w:val="4"/>
    </w:pPr>
    <w:rPr>
      <w:rFonts w:ascii="Tahoma" w:hAnsi="Tahoma"/>
      <w:b/>
      <w:bCs/>
      <w:color w:val="993366"/>
      <w:w w:val="100"/>
      <w:sz w:val="30"/>
      <w:szCs w:val="20"/>
      <w:lang w:val="en-GB"/>
    </w:rPr>
  </w:style>
  <w:style w:type="paragraph" w:styleId="Otsikko7">
    <w:name w:val="heading 7"/>
    <w:basedOn w:val="Normaali"/>
    <w:next w:val="Normaali"/>
    <w:qFormat/>
    <w:rsid w:val="00AF3924"/>
    <w:pPr>
      <w:keepNext/>
      <w:spacing w:before="40" w:after="40"/>
      <w:outlineLvl w:val="6"/>
    </w:pPr>
    <w:rPr>
      <w:rFonts w:ascii="Tahoma" w:hAnsi="Tahoma"/>
      <w:b/>
      <w:bCs/>
      <w:color w:val="auto"/>
      <w:w w:val="100"/>
      <w:sz w:val="36"/>
      <w:szCs w:val="20"/>
      <w:lang w:val="en-GB"/>
    </w:rPr>
  </w:style>
  <w:style w:type="paragraph" w:styleId="Otsikko9">
    <w:name w:val="heading 9"/>
    <w:basedOn w:val="Normaali"/>
    <w:next w:val="Normaali"/>
    <w:qFormat/>
    <w:rsid w:val="00AF3924"/>
    <w:pPr>
      <w:keepNext/>
      <w:spacing w:before="40" w:after="40"/>
      <w:outlineLvl w:val="8"/>
    </w:pPr>
    <w:rPr>
      <w:rFonts w:ascii="Tahoma" w:hAnsi="Tahoma"/>
      <w:b/>
      <w:bCs/>
      <w:color w:val="993366"/>
      <w:w w:val="100"/>
      <w:szCs w:val="20"/>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AF3924"/>
    <w:pPr>
      <w:tabs>
        <w:tab w:val="center" w:pos="4320"/>
        <w:tab w:val="right" w:pos="8640"/>
      </w:tabs>
    </w:pPr>
  </w:style>
  <w:style w:type="paragraph" w:styleId="Alatunniste">
    <w:name w:val="footer"/>
    <w:basedOn w:val="Normaali"/>
    <w:semiHidden/>
    <w:rsid w:val="00AF3924"/>
    <w:pPr>
      <w:tabs>
        <w:tab w:val="center" w:pos="4320"/>
        <w:tab w:val="right" w:pos="8640"/>
      </w:tabs>
    </w:pPr>
  </w:style>
  <w:style w:type="paragraph" w:styleId="Leipteksti">
    <w:name w:val="Body Text"/>
    <w:basedOn w:val="Normaali"/>
    <w:semiHidden/>
    <w:rsid w:val="00AF3924"/>
    <w:pPr>
      <w:spacing w:line="360" w:lineRule="auto"/>
      <w:jc w:val="both"/>
    </w:pPr>
    <w:rPr>
      <w:color w:val="auto"/>
    </w:rPr>
  </w:style>
  <w:style w:type="paragraph" w:styleId="Leipteksti2">
    <w:name w:val="Body Text 2"/>
    <w:basedOn w:val="Normaali"/>
    <w:semiHidden/>
    <w:rsid w:val="00AF3924"/>
    <w:pPr>
      <w:spacing w:line="360" w:lineRule="auto"/>
      <w:jc w:val="both"/>
    </w:pPr>
  </w:style>
  <w:style w:type="paragraph" w:styleId="Sisennettyleipteksti">
    <w:name w:val="Body Text Indent"/>
    <w:basedOn w:val="Normaali"/>
    <w:semiHidden/>
    <w:rsid w:val="00AF3924"/>
    <w:pPr>
      <w:ind w:left="720"/>
    </w:pPr>
  </w:style>
  <w:style w:type="paragraph" w:styleId="Sisennettyleipteksti2">
    <w:name w:val="Body Text Indent 2"/>
    <w:basedOn w:val="Normaali"/>
    <w:semiHidden/>
    <w:rsid w:val="00AF3924"/>
    <w:pPr>
      <w:spacing w:line="360" w:lineRule="auto"/>
      <w:ind w:firstLine="720"/>
    </w:pPr>
  </w:style>
  <w:style w:type="paragraph" w:styleId="Sisennettyleipteksti3">
    <w:name w:val="Body Text Indent 3"/>
    <w:basedOn w:val="Normaali"/>
    <w:semiHidden/>
    <w:rsid w:val="00AF3924"/>
    <w:pPr>
      <w:ind w:firstLine="720"/>
    </w:pPr>
    <w:rPr>
      <w:color w:val="auto"/>
    </w:rPr>
  </w:style>
  <w:style w:type="paragraph" w:styleId="Leipteksti3">
    <w:name w:val="Body Text 3"/>
    <w:basedOn w:val="Normaali"/>
    <w:semiHidden/>
    <w:rsid w:val="00AF3924"/>
    <w:pPr>
      <w:spacing w:line="360" w:lineRule="auto"/>
    </w:pPr>
    <w:rPr>
      <w:color w:val="auto"/>
    </w:rPr>
  </w:style>
  <w:style w:type="paragraph" w:styleId="Alaviitteenteksti">
    <w:name w:val="footnote text"/>
    <w:basedOn w:val="Normaali"/>
    <w:semiHidden/>
    <w:rsid w:val="00AF3924"/>
    <w:rPr>
      <w:sz w:val="20"/>
      <w:szCs w:val="20"/>
    </w:rPr>
  </w:style>
  <w:style w:type="character" w:styleId="Alaviitteenviite">
    <w:name w:val="footnote reference"/>
    <w:basedOn w:val="Kappaleenoletusfontti"/>
    <w:semiHidden/>
    <w:rsid w:val="00AF3924"/>
    <w:rPr>
      <w:rFonts w:cs="Times New Roman"/>
      <w:vertAlign w:val="superscript"/>
    </w:rPr>
  </w:style>
  <w:style w:type="character" w:styleId="Rivinumero">
    <w:name w:val="line number"/>
    <w:basedOn w:val="Kappaleenoletusfontti"/>
    <w:semiHidden/>
    <w:rsid w:val="00AF3924"/>
    <w:rPr>
      <w:rFonts w:cs="Times New Roman"/>
    </w:rPr>
  </w:style>
  <w:style w:type="character" w:styleId="Sivunumero">
    <w:name w:val="page number"/>
    <w:basedOn w:val="Kappaleenoletusfontti"/>
    <w:semiHidden/>
    <w:rsid w:val="00AF3924"/>
    <w:rPr>
      <w:rFonts w:cs="Times New Roman"/>
    </w:rPr>
  </w:style>
  <w:style w:type="character" w:styleId="Hyperlinkki">
    <w:name w:val="Hyperlink"/>
    <w:basedOn w:val="Kappaleenoletusfontti"/>
    <w:semiHidden/>
    <w:rsid w:val="00AF3924"/>
    <w:rPr>
      <w:rFonts w:cs="Times New Roman"/>
      <w:color w:val="0000FF"/>
      <w:u w:val="single"/>
    </w:rPr>
  </w:style>
  <w:style w:type="character" w:styleId="Kommentinviite">
    <w:name w:val="annotation reference"/>
    <w:basedOn w:val="Kappaleenoletusfontti"/>
    <w:semiHidden/>
    <w:rsid w:val="00AF3924"/>
    <w:rPr>
      <w:rFonts w:cs="Times New Roman"/>
      <w:sz w:val="16"/>
      <w:szCs w:val="16"/>
    </w:rPr>
  </w:style>
  <w:style w:type="paragraph" w:styleId="Kommentinteksti">
    <w:name w:val="annotation text"/>
    <w:basedOn w:val="Normaali"/>
    <w:semiHidden/>
    <w:rsid w:val="00AF3924"/>
    <w:rPr>
      <w:sz w:val="20"/>
      <w:szCs w:val="20"/>
    </w:rPr>
  </w:style>
  <w:style w:type="paragraph" w:styleId="Kommentinotsikko">
    <w:name w:val="annotation subject"/>
    <w:basedOn w:val="Kommentinteksti"/>
    <w:next w:val="Kommentinteksti"/>
    <w:semiHidden/>
    <w:rsid w:val="00AF3924"/>
    <w:rPr>
      <w:b/>
      <w:bCs/>
    </w:rPr>
  </w:style>
  <w:style w:type="paragraph" w:styleId="Seliteteksti">
    <w:name w:val="Balloon Text"/>
    <w:basedOn w:val="Normaali"/>
    <w:semiHidden/>
    <w:rsid w:val="00AF3924"/>
    <w:rPr>
      <w:rFonts w:ascii="Tahoma" w:hAnsi="Tahoma" w:cs="Tahoma"/>
      <w:sz w:val="16"/>
      <w:szCs w:val="16"/>
    </w:rPr>
  </w:style>
  <w:style w:type="paragraph" w:styleId="Asiakirjanrakenneruutu">
    <w:name w:val="Document Map"/>
    <w:basedOn w:val="Normaali"/>
    <w:semiHidden/>
    <w:rsid w:val="00AF3924"/>
    <w:pPr>
      <w:shd w:val="clear" w:color="auto" w:fill="000080"/>
    </w:pPr>
    <w:rPr>
      <w:rFonts w:ascii="Tahoma" w:hAnsi="Tahoma" w:cs="Tahoma"/>
      <w:sz w:val="20"/>
      <w:szCs w:val="20"/>
    </w:rPr>
  </w:style>
  <w:style w:type="character" w:customStyle="1" w:styleId="ti2">
    <w:name w:val="ti2"/>
    <w:basedOn w:val="Kappaleenoletusfontti"/>
    <w:rsid w:val="00AF3924"/>
    <w:rPr>
      <w:rFonts w:cs="Times New Roman"/>
      <w:sz w:val="22"/>
      <w:szCs w:val="22"/>
    </w:rPr>
  </w:style>
  <w:style w:type="character" w:styleId="Voimakas">
    <w:name w:val="Strong"/>
    <w:basedOn w:val="Kappaleenoletusfontti"/>
    <w:qFormat/>
    <w:rsid w:val="00AF3924"/>
    <w:rPr>
      <w:rFonts w:cs="Times New Roman"/>
      <w:b/>
      <w:bCs/>
    </w:rPr>
  </w:style>
  <w:style w:type="character" w:styleId="AvattuHyperlinkki">
    <w:name w:val="FollowedHyperlink"/>
    <w:basedOn w:val="Kappaleenoletusfontti"/>
    <w:semiHidden/>
    <w:rsid w:val="00AF3924"/>
    <w:rPr>
      <w:rFonts w:cs="Times New Roman"/>
      <w:color w:val="800080"/>
      <w:u w:val="single"/>
    </w:rPr>
  </w:style>
  <w:style w:type="paragraph" w:customStyle="1" w:styleId="ListParagraph1">
    <w:name w:val="List Paragraph1"/>
    <w:basedOn w:val="Normaali"/>
    <w:rsid w:val="00AF3924"/>
    <w:pPr>
      <w:ind w:left="720"/>
      <w:contextualSpacing/>
    </w:pPr>
  </w:style>
  <w:style w:type="character" w:customStyle="1" w:styleId="Heading1Char">
    <w:name w:val="Heading 1 Char"/>
    <w:basedOn w:val="Kappaleenoletusfontti"/>
    <w:rsid w:val="00AF3924"/>
    <w:rPr>
      <w:rFonts w:ascii="Garamond" w:hAnsi="Garamond" w:cs="Times New Roman"/>
      <w:b/>
      <w:bCs/>
      <w:color w:val="008000"/>
      <w:w w:val="12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3350</Words>
  <Characters>167927</Characters>
  <Application>Microsoft Office Word</Application>
  <DocSecurity>0</DocSecurity>
  <Lines>1399</Lines>
  <Paragraphs>341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Bring all QUOROM parts here</vt:lpstr>
      <vt:lpstr>Bring all QUOROM parts here</vt:lpstr>
    </vt:vector>
  </TitlesOfParts>
  <Company>CHEO</Company>
  <LinksUpToDate>false</LinksUpToDate>
  <CharactersWithSpaces>170936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 all QUOROM parts here</dc:title>
  <dc:creator>CHEO</dc:creator>
  <cp:lastModifiedBy>Kalle Aaltonen</cp:lastModifiedBy>
  <cp:revision>5</cp:revision>
  <cp:lastPrinted>2009-03-05T17:14:00Z</cp:lastPrinted>
  <dcterms:created xsi:type="dcterms:W3CDTF">2011-12-21T12:41:00Z</dcterms:created>
  <dcterms:modified xsi:type="dcterms:W3CDTF">2011-12-27T07:12:00Z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