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DF" w:rsidRPr="0079228A" w:rsidRDefault="00263BDF" w:rsidP="00263BDF">
      <w:pPr>
        <w:spacing w:line="240" w:lineRule="auto"/>
        <w:rPr>
          <w:b/>
          <w:u w:val="single"/>
        </w:rPr>
      </w:pPr>
      <w:proofErr w:type="gramStart"/>
      <w:r w:rsidRPr="006D7FCC">
        <w:rPr>
          <w:b/>
        </w:rPr>
        <w:t xml:space="preserve">Supplementary Table </w:t>
      </w:r>
      <w:r w:rsidRPr="0079228A">
        <w:rPr>
          <w:b/>
        </w:rPr>
        <w:t>S3.</w:t>
      </w:r>
      <w:proofErr w:type="gramEnd"/>
      <w:r w:rsidRPr="0079228A">
        <w:rPr>
          <w:b/>
        </w:rPr>
        <w:t xml:space="preserve">  Clusters obtained by after dimension reduction using SAM.  </w:t>
      </w:r>
      <w:r w:rsidRPr="0079228A">
        <w:t>The clusters are listed along with the percentage of variation explained by the 1</w:t>
      </w:r>
      <w:r w:rsidRPr="0079228A">
        <w:rPr>
          <w:vertAlign w:val="superscript"/>
        </w:rPr>
        <w:t>st</w:t>
      </w:r>
      <w:r w:rsidRPr="0079228A">
        <w:t xml:space="preserve"> PC of the cluster, which is related to the compactness of the cluster. The bolded clusters are the clusters in which &gt;40% of the gene-probes were concentrated in two of the 265 clusters obtained without prior dimension reduction.  The clusters were considered enriched for genes that were differentially expressed in CD vs. Control, UC vs. Control or CD vs. UC if ≥ 50% of the genes with a correlation of ≥ 0.75% to the 1</w:t>
      </w:r>
      <w:r w:rsidRPr="0079228A">
        <w:rPr>
          <w:vertAlign w:val="superscript"/>
        </w:rPr>
        <w:t>st</w:t>
      </w:r>
      <w:r w:rsidRPr="0079228A">
        <w:t xml:space="preserve"> PC of the cluster demonstrated a significant fold change (see Supplementary Table 1).  Clusters were considered enriched for genes in an IPA canonical pathway if P &lt;0.01 and at least 4 genes were in the pathway.  In addition we listed our interpretation of the biological significance of the pathway.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990"/>
        <w:gridCol w:w="1080"/>
        <w:gridCol w:w="630"/>
        <w:gridCol w:w="5508"/>
      </w:tblGrid>
      <w:tr w:rsidR="00263BDF" w:rsidRPr="006D7FCC" w:rsidTr="00B120D6">
        <w:tc>
          <w:tcPr>
            <w:tcW w:w="1368" w:type="dxa"/>
          </w:tcPr>
          <w:p w:rsidR="00263BDF" w:rsidRPr="006D7FCC" w:rsidRDefault="00263BDF" w:rsidP="00B120D6">
            <w:pPr>
              <w:spacing w:after="0" w:line="240" w:lineRule="auto"/>
              <w:rPr>
                <w:noProof/>
              </w:rPr>
            </w:pPr>
            <w:r w:rsidRPr="006D7FCC">
              <w:rPr>
                <w:noProof/>
              </w:rPr>
              <w:t>Cluster/</w:t>
            </w:r>
          </w:p>
          <w:p w:rsidR="00263BDF" w:rsidRPr="006D7FCC" w:rsidRDefault="00263BDF" w:rsidP="00B120D6">
            <w:pPr>
              <w:spacing w:after="0" w:line="240" w:lineRule="auto"/>
              <w:rPr>
                <w:noProof/>
              </w:rPr>
            </w:pPr>
            <w:r w:rsidRPr="006D7FCC">
              <w:rPr>
                <w:noProof/>
              </w:rPr>
              <w:t>(% 1</w:t>
            </w:r>
            <w:r w:rsidRPr="006D7FCC">
              <w:rPr>
                <w:noProof/>
                <w:vertAlign w:val="superscript"/>
              </w:rPr>
              <w:t>st</w:t>
            </w:r>
            <w:r w:rsidRPr="006D7FCC">
              <w:rPr>
                <w:noProof/>
              </w:rPr>
              <w:t xml:space="preserve"> PC)</w:t>
            </w:r>
          </w:p>
        </w:tc>
        <w:tc>
          <w:tcPr>
            <w:tcW w:w="990" w:type="dxa"/>
          </w:tcPr>
          <w:p w:rsidR="00263BDF" w:rsidRPr="006D7FCC" w:rsidRDefault="00263BDF" w:rsidP="00B120D6">
            <w:pPr>
              <w:spacing w:after="0" w:line="240" w:lineRule="auto"/>
              <w:rPr>
                <w:noProof/>
              </w:rPr>
            </w:pPr>
            <w:r w:rsidRPr="006D7FCC">
              <w:rPr>
                <w:noProof/>
              </w:rPr>
              <w:t>CD      vs. Control</w:t>
            </w:r>
          </w:p>
        </w:tc>
        <w:tc>
          <w:tcPr>
            <w:tcW w:w="1080" w:type="dxa"/>
          </w:tcPr>
          <w:p w:rsidR="00263BDF" w:rsidRPr="006D7FCC" w:rsidRDefault="00263BDF" w:rsidP="00B120D6">
            <w:pPr>
              <w:spacing w:after="0" w:line="240" w:lineRule="auto"/>
              <w:rPr>
                <w:noProof/>
              </w:rPr>
            </w:pPr>
            <w:r w:rsidRPr="006D7FCC">
              <w:rPr>
                <w:noProof/>
              </w:rPr>
              <w:t>UC     vs. Control</w:t>
            </w:r>
          </w:p>
        </w:tc>
        <w:tc>
          <w:tcPr>
            <w:tcW w:w="630" w:type="dxa"/>
          </w:tcPr>
          <w:p w:rsidR="00263BDF" w:rsidRPr="006D7FCC" w:rsidRDefault="00263BDF" w:rsidP="00B120D6">
            <w:pPr>
              <w:spacing w:after="0" w:line="240" w:lineRule="auto"/>
              <w:rPr>
                <w:noProof/>
              </w:rPr>
            </w:pPr>
            <w:r w:rsidRPr="006D7FCC">
              <w:rPr>
                <w:noProof/>
              </w:rPr>
              <w:t>CD   vs. UC</w:t>
            </w:r>
          </w:p>
        </w:tc>
        <w:tc>
          <w:tcPr>
            <w:tcW w:w="5508" w:type="dxa"/>
          </w:tcPr>
          <w:p w:rsidR="00263BDF" w:rsidRPr="006D7FCC" w:rsidRDefault="00263BDF" w:rsidP="00B120D6">
            <w:pPr>
              <w:spacing w:after="0" w:line="240" w:lineRule="auto"/>
              <w:rPr>
                <w:noProof/>
              </w:rPr>
            </w:pPr>
            <w:r w:rsidRPr="006D7FCC">
              <w:rPr>
                <w:noProof/>
              </w:rPr>
              <w:t>Biological significance</w:t>
            </w:r>
          </w:p>
          <w:p w:rsidR="00263BDF" w:rsidRPr="006D7FCC" w:rsidRDefault="00263BDF" w:rsidP="00B120D6">
            <w:pPr>
              <w:spacing w:after="0" w:line="240" w:lineRule="auto"/>
              <w:rPr>
                <w:noProof/>
              </w:rPr>
            </w:pPr>
            <w:r w:rsidRPr="006D7FCC">
              <w:rPr>
                <w:noProof/>
              </w:rPr>
              <w:t>IPA canonical pathways (P-value)</w:t>
            </w:r>
          </w:p>
          <w:p w:rsidR="00263BDF" w:rsidRPr="006D7FCC" w:rsidRDefault="00263BDF" w:rsidP="00B120D6">
            <w:pPr>
              <w:spacing w:after="0" w:line="240" w:lineRule="auto"/>
              <w:rPr>
                <w:b/>
                <w:noProof/>
              </w:rPr>
            </w:pPr>
            <w:r w:rsidRPr="006D7FCC">
              <w:rPr>
                <w:b/>
                <w:noProof/>
                <w:vertAlign w:val="superscript"/>
              </w:rPr>
              <w:t>*</w:t>
            </w:r>
            <w:r w:rsidRPr="006D7FCC">
              <w:rPr>
                <w:b/>
                <w:noProof/>
              </w:rPr>
              <w:t>Assigned by authors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 (68.4%)</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pPr>
            <w:r w:rsidRPr="006D7FCC">
              <w:t>Altered T and B Cell Signaling in Rheumatoid Arthritis (6.9E-4)</w:t>
            </w:r>
          </w:p>
          <w:p w:rsidR="00263BDF" w:rsidRPr="006D7FCC" w:rsidRDefault="00263BDF" w:rsidP="00B120D6">
            <w:pPr>
              <w:spacing w:after="0" w:line="240" w:lineRule="auto"/>
            </w:pPr>
            <w:r w:rsidRPr="006D7FCC">
              <w:t>B Cell Receptor Signaling (9.7E-3)</w:t>
            </w:r>
          </w:p>
          <w:p w:rsidR="00263BDF" w:rsidRPr="006D7FCC" w:rsidRDefault="00263BDF" w:rsidP="00B120D6">
            <w:pPr>
              <w:spacing w:after="0" w:line="240" w:lineRule="auto"/>
            </w:pPr>
            <w:r w:rsidRPr="006D7FCC">
              <w:t>*</w:t>
            </w:r>
            <w:r w:rsidRPr="006D7FCC">
              <w:rPr>
                <w:b/>
              </w:rPr>
              <w:t>Formation of organized lymphoid structures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 (67.7%)</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Default="00263BDF" w:rsidP="00B120D6">
            <w:pPr>
              <w:spacing w:after="0" w:line="240" w:lineRule="auto"/>
            </w:pPr>
            <w:r w:rsidRPr="006D7FCC">
              <w:t>LPS/IL-1 Mediated Inhibition of RXR Function (8.9E-4)</w:t>
            </w:r>
          </w:p>
          <w:p w:rsidR="00263BDF" w:rsidRPr="006D7FCC" w:rsidRDefault="00263BDF" w:rsidP="00B120D6">
            <w:pPr>
              <w:spacing w:after="0" w:line="240" w:lineRule="auto"/>
            </w:pPr>
            <w:proofErr w:type="spellStart"/>
            <w:r w:rsidRPr="006D7FCC">
              <w:t>Arachidonic</w:t>
            </w:r>
            <w:proofErr w:type="spellEnd"/>
            <w:r w:rsidRPr="006D7FCC">
              <w:t xml:space="preserve"> Acid Metabolism (2.2E-3)</w:t>
            </w:r>
          </w:p>
          <w:p w:rsidR="00263BDF" w:rsidRPr="006D7FCC" w:rsidRDefault="00263BDF" w:rsidP="00B120D6">
            <w:pPr>
              <w:spacing w:after="0" w:line="240" w:lineRule="auto"/>
            </w:pPr>
            <w:proofErr w:type="spellStart"/>
            <w:r w:rsidRPr="006D7FCC">
              <w:t>Xenobiotic</w:t>
            </w:r>
            <w:proofErr w:type="spellEnd"/>
            <w:r w:rsidRPr="006D7FCC">
              <w:t xml:space="preserve"> Metabolism Signaling (4.4E-3)</w:t>
            </w:r>
          </w:p>
          <w:p w:rsidR="00263BDF" w:rsidRPr="006D7FCC" w:rsidRDefault="00263BDF" w:rsidP="00B120D6">
            <w:pPr>
              <w:spacing w:after="0" w:line="240" w:lineRule="auto"/>
              <w:rPr>
                <w:b/>
              </w:rPr>
            </w:pPr>
            <w:r w:rsidRPr="006D7FCC">
              <w:rPr>
                <w:b/>
              </w:rPr>
              <w:t>*Nuclear receptor signaling</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 (70.3%)</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4/ (78.6%)</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r w:rsidRPr="006D7FCC">
              <w:rPr>
                <w:noProof/>
              </w:rPr>
              <w:t>CDK5 Signaling (2.2E-4)</w:t>
            </w:r>
          </w:p>
          <w:p w:rsidR="00263BDF" w:rsidRPr="006D7FCC" w:rsidRDefault="00263BDF" w:rsidP="00B120D6">
            <w:pPr>
              <w:spacing w:after="0" w:line="240" w:lineRule="auto"/>
              <w:rPr>
                <w:noProof/>
              </w:rPr>
            </w:pPr>
            <w:r w:rsidRPr="006D7FCC">
              <w:rPr>
                <w:noProof/>
              </w:rPr>
              <w:t>ILK Signaling (2.7E-3)</w:t>
            </w:r>
          </w:p>
          <w:p w:rsidR="00263BDF" w:rsidRPr="006D7FCC" w:rsidRDefault="00263BDF" w:rsidP="00B120D6">
            <w:pPr>
              <w:spacing w:after="0" w:line="240" w:lineRule="auto"/>
              <w:rPr>
                <w:noProof/>
              </w:rPr>
            </w:pPr>
            <w:r w:rsidRPr="006D7FCC">
              <w:rPr>
                <w:noProof/>
              </w:rPr>
              <w:t>ERK/MAPK Signaling (2.9E-3)</w:t>
            </w:r>
          </w:p>
          <w:p w:rsidR="00263BDF" w:rsidRPr="006D7FCC" w:rsidRDefault="00263BDF" w:rsidP="00B120D6">
            <w:pPr>
              <w:spacing w:after="0" w:line="240" w:lineRule="auto"/>
              <w:rPr>
                <w:noProof/>
              </w:rPr>
            </w:pPr>
            <w:r w:rsidRPr="006D7FCC">
              <w:rPr>
                <w:noProof/>
              </w:rPr>
              <w:t>Integrin Signaling (3.7E-3)</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5/ (67.6%)</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6/ (73.1%)</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pPr>
            <w:r w:rsidRPr="006D7FCC">
              <w:t>Antigen Presentation Pathway (1.5E-5)</w:t>
            </w:r>
          </w:p>
          <w:p w:rsidR="00263BDF" w:rsidRPr="006D7FCC" w:rsidRDefault="00263BDF" w:rsidP="00B120D6">
            <w:pPr>
              <w:spacing w:after="0" w:line="240" w:lineRule="auto"/>
            </w:pPr>
            <w:proofErr w:type="spellStart"/>
            <w:r w:rsidRPr="006D7FCC">
              <w:t>Galactose</w:t>
            </w:r>
            <w:proofErr w:type="spellEnd"/>
            <w:r w:rsidRPr="006D7FCC">
              <w:t xml:space="preserve"> Metabolism (8.0E-5)</w:t>
            </w:r>
          </w:p>
          <w:p w:rsidR="00263BDF" w:rsidRPr="006D7FCC" w:rsidRDefault="00263BDF" w:rsidP="00B120D6">
            <w:pPr>
              <w:spacing w:after="0" w:line="240" w:lineRule="auto"/>
            </w:pPr>
            <w:r w:rsidRPr="006D7FCC">
              <w:t>Allograft Rejection Signaling (2.8E-4)</w:t>
            </w:r>
          </w:p>
          <w:p w:rsidR="00263BDF" w:rsidRPr="006D7FCC" w:rsidRDefault="00263BDF" w:rsidP="00B120D6">
            <w:pPr>
              <w:spacing w:after="0" w:line="240" w:lineRule="auto"/>
            </w:pPr>
            <w:proofErr w:type="spellStart"/>
            <w:r w:rsidRPr="006D7FCC">
              <w:t>Glycerolipid</w:t>
            </w:r>
            <w:proofErr w:type="spellEnd"/>
            <w:r w:rsidRPr="006D7FCC">
              <w:t xml:space="preserve"> Metabolism (2.9E-4)</w:t>
            </w:r>
          </w:p>
          <w:p w:rsidR="00263BDF" w:rsidRPr="006D7FCC" w:rsidRDefault="00263BDF" w:rsidP="00B120D6">
            <w:pPr>
              <w:spacing w:after="0" w:line="240" w:lineRule="auto"/>
            </w:pPr>
            <w:r w:rsidRPr="006D7FCC">
              <w:t>Autoimmune Thyroid Disease Signaling (3.5E-4)</w:t>
            </w:r>
          </w:p>
          <w:p w:rsidR="00263BDF" w:rsidRPr="006D7FCC" w:rsidRDefault="00263BDF" w:rsidP="00B120D6">
            <w:pPr>
              <w:spacing w:after="0" w:line="240" w:lineRule="auto"/>
            </w:pPr>
            <w:r w:rsidRPr="006D7FCC">
              <w:t>Type I Diabetes Mellitus Signaling (4.5E-4)</w:t>
            </w:r>
          </w:p>
          <w:p w:rsidR="00263BDF" w:rsidRPr="006D7FCC" w:rsidRDefault="00263BDF" w:rsidP="00B120D6">
            <w:pPr>
              <w:spacing w:after="0" w:line="240" w:lineRule="auto"/>
            </w:pPr>
            <w:r w:rsidRPr="006D7FCC">
              <w:t>Graft-versus-Host Disease Signaling (4.9E-4)</w:t>
            </w:r>
          </w:p>
          <w:p w:rsidR="00263BDF" w:rsidRPr="006D7FCC" w:rsidRDefault="00263BDF" w:rsidP="00B120D6">
            <w:pPr>
              <w:spacing w:after="0" w:line="240" w:lineRule="auto"/>
            </w:pPr>
            <w:proofErr w:type="spellStart"/>
            <w:r w:rsidRPr="006D7FCC">
              <w:t>Neuroprotective</w:t>
            </w:r>
            <w:proofErr w:type="spellEnd"/>
            <w:r w:rsidRPr="006D7FCC">
              <w:t xml:space="preserve"> Role of THOP1 in Alzheimer’s Disease (5.9E-4)</w:t>
            </w:r>
          </w:p>
          <w:p w:rsidR="00263BDF" w:rsidRPr="006D7FCC" w:rsidRDefault="00263BDF" w:rsidP="00B120D6">
            <w:pPr>
              <w:spacing w:after="0" w:line="240" w:lineRule="auto"/>
            </w:pPr>
            <w:proofErr w:type="spellStart"/>
            <w:r w:rsidRPr="006D7FCC">
              <w:t>Pyruvate</w:t>
            </w:r>
            <w:proofErr w:type="spellEnd"/>
            <w:r w:rsidRPr="006D7FCC">
              <w:t xml:space="preserve"> Metabolism (6.3E-4)</w:t>
            </w:r>
          </w:p>
          <w:p w:rsidR="00263BDF" w:rsidRPr="006D7FCC" w:rsidRDefault="00263BDF" w:rsidP="00B120D6">
            <w:pPr>
              <w:spacing w:after="0" w:line="240" w:lineRule="auto"/>
            </w:pPr>
            <w:proofErr w:type="spellStart"/>
            <w:r w:rsidRPr="006D7FCC">
              <w:t>Glycerophospholipid</w:t>
            </w:r>
            <w:proofErr w:type="spellEnd"/>
            <w:r w:rsidRPr="006D7FCC">
              <w:t xml:space="preserve"> Metabolism (1.3E-3)</w:t>
            </w:r>
          </w:p>
          <w:p w:rsidR="00263BDF" w:rsidRPr="006D7FCC" w:rsidRDefault="00263BDF" w:rsidP="00B120D6">
            <w:pPr>
              <w:spacing w:after="0" w:line="240" w:lineRule="auto"/>
            </w:pPr>
            <w:r w:rsidRPr="006D7FCC">
              <w:t>Fructose and Mannose Metabolism (1.4E-3)</w:t>
            </w:r>
          </w:p>
          <w:p w:rsidR="00263BDF" w:rsidRPr="006D7FCC" w:rsidRDefault="00263BDF" w:rsidP="00B120D6">
            <w:pPr>
              <w:spacing w:after="0" w:line="240" w:lineRule="auto"/>
            </w:pPr>
            <w:r w:rsidRPr="006D7FCC">
              <w:t>Fatty Acid Metabolism (2.9E-3)</w:t>
            </w:r>
          </w:p>
          <w:p w:rsidR="00263BDF" w:rsidRPr="006D7FCC" w:rsidRDefault="00263BDF" w:rsidP="00B120D6">
            <w:pPr>
              <w:spacing w:after="0" w:line="240" w:lineRule="auto"/>
            </w:pPr>
            <w:proofErr w:type="spellStart"/>
            <w:r w:rsidRPr="006D7FCC">
              <w:t>Arachidonic</w:t>
            </w:r>
            <w:proofErr w:type="spellEnd"/>
            <w:r w:rsidRPr="006D7FCC">
              <w:t xml:space="preserve"> Acid Metabolism (4.0E-3)</w:t>
            </w:r>
          </w:p>
          <w:p w:rsidR="00263BDF" w:rsidRPr="006D7FCC" w:rsidRDefault="00263BDF" w:rsidP="00B120D6">
            <w:pPr>
              <w:spacing w:after="0" w:line="240" w:lineRule="auto"/>
            </w:pPr>
            <w:proofErr w:type="spellStart"/>
            <w:r w:rsidRPr="006D7FCC">
              <w:t>Calveolar</w:t>
            </w:r>
            <w:proofErr w:type="spellEnd"/>
            <w:r w:rsidRPr="006D7FCC">
              <w:t xml:space="preserve">-mediated </w:t>
            </w:r>
            <w:proofErr w:type="spellStart"/>
            <w:r w:rsidRPr="006D7FCC">
              <w:t>Endocytosis</w:t>
            </w:r>
            <w:proofErr w:type="spellEnd"/>
            <w:r w:rsidRPr="006D7FCC">
              <w:t xml:space="preserve"> Signaling (5.0E-3)</w:t>
            </w:r>
          </w:p>
          <w:p w:rsidR="00263BDF" w:rsidRPr="006D7FCC" w:rsidRDefault="00263BDF" w:rsidP="00B120D6">
            <w:pPr>
              <w:spacing w:after="0" w:line="240" w:lineRule="auto"/>
            </w:pPr>
            <w:proofErr w:type="spellStart"/>
            <w:r w:rsidRPr="006D7FCC">
              <w:t>Phosopholipid</w:t>
            </w:r>
            <w:proofErr w:type="spellEnd"/>
            <w:r w:rsidRPr="006D7FCC">
              <w:t xml:space="preserve"> Degradation (8.3E-3)</w:t>
            </w:r>
          </w:p>
          <w:p w:rsidR="00263BDF" w:rsidRPr="006D7FCC" w:rsidRDefault="00263BDF" w:rsidP="00B120D6">
            <w:pPr>
              <w:spacing w:after="0" w:line="240" w:lineRule="auto"/>
            </w:pPr>
            <w:r w:rsidRPr="006D7FCC">
              <w:t xml:space="preserve">Virus Entry via </w:t>
            </w:r>
            <w:proofErr w:type="spellStart"/>
            <w:r w:rsidRPr="006D7FCC">
              <w:t>Endocytotic</w:t>
            </w:r>
            <w:proofErr w:type="spellEnd"/>
            <w:r w:rsidRPr="006D7FCC">
              <w:t xml:space="preserve"> Pathways (9.4E-3)</w:t>
            </w:r>
          </w:p>
          <w:p w:rsidR="00263BDF" w:rsidRPr="006D7FCC" w:rsidRDefault="00263BDF" w:rsidP="00B120D6">
            <w:pPr>
              <w:spacing w:after="0" w:line="240" w:lineRule="auto"/>
            </w:pPr>
            <w:r w:rsidRPr="006D7FCC">
              <w:lastRenderedPageBreak/>
              <w:t xml:space="preserve">Crosstalk between </w:t>
            </w:r>
            <w:proofErr w:type="spellStart"/>
            <w:r w:rsidRPr="006D7FCC">
              <w:t>Dendritic</w:t>
            </w:r>
            <w:proofErr w:type="spellEnd"/>
            <w:r w:rsidRPr="006D7FCC">
              <w:t xml:space="preserve"> Cells and Natural Killer Cells (9.8E-3)</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lastRenderedPageBreak/>
              <w:t>7/ (60.5%)</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8/ (48.6%)</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9/ (45.0%)</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10/ (51.8%)</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11/ (59.8%)</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rPr>
                <w:noProof/>
              </w:rPr>
            </w:pPr>
          </w:p>
        </w:tc>
        <w:tc>
          <w:tcPr>
            <w:tcW w:w="630" w:type="dxa"/>
          </w:tcPr>
          <w:p w:rsidR="00263BDF" w:rsidRPr="006D7FCC" w:rsidRDefault="00263BDF" w:rsidP="00B120D6">
            <w:pPr>
              <w:spacing w:after="0" w:line="240" w:lineRule="auto"/>
              <w:rPr>
                <w:noProof/>
              </w:rPr>
            </w:pPr>
          </w:p>
        </w:tc>
        <w:tc>
          <w:tcPr>
            <w:tcW w:w="5508" w:type="dxa"/>
          </w:tcPr>
          <w:p w:rsidR="00263BDF" w:rsidRPr="006D7FCC" w:rsidRDefault="00263BDF" w:rsidP="00B120D6">
            <w:pPr>
              <w:spacing w:after="0" w:line="240" w:lineRule="auto"/>
              <w:rPr>
                <w:noProof/>
              </w:rPr>
            </w:pPr>
            <w:r w:rsidRPr="006D7FCC">
              <w:rPr>
                <w:noProof/>
              </w:rPr>
              <w:t>Atherosclerosis Signaling (3.6E-7)</w:t>
            </w:r>
          </w:p>
          <w:p w:rsidR="00263BDF" w:rsidRPr="006D7FCC" w:rsidRDefault="00263BDF" w:rsidP="00B120D6">
            <w:pPr>
              <w:spacing w:after="0" w:line="240" w:lineRule="auto"/>
              <w:rPr>
                <w:noProof/>
              </w:rPr>
            </w:pPr>
            <w:r w:rsidRPr="006D7FCC">
              <w:rPr>
                <w:noProof/>
              </w:rPr>
              <w:t>Hepatic Fibrosis/Hepatic Stellate Cell Activation (3.5E-5)</w:t>
            </w:r>
          </w:p>
          <w:p w:rsidR="00263BDF" w:rsidRPr="006D7FCC" w:rsidRDefault="00263BDF" w:rsidP="00B120D6">
            <w:pPr>
              <w:spacing w:after="0" w:line="240" w:lineRule="auto"/>
              <w:rPr>
                <w:noProof/>
              </w:rPr>
            </w:pPr>
            <w:r w:rsidRPr="006D7FCC">
              <w:rPr>
                <w:noProof/>
              </w:rPr>
              <w:t>Dendritic Cell Metabolism (8.3E-4)</w:t>
            </w:r>
          </w:p>
          <w:p w:rsidR="00263BDF" w:rsidRPr="006D7FCC" w:rsidRDefault="00263BDF" w:rsidP="00B120D6">
            <w:pPr>
              <w:spacing w:after="0" w:line="240" w:lineRule="auto"/>
              <w:rPr>
                <w:b/>
                <w:noProof/>
              </w:rPr>
            </w:pPr>
            <w:r w:rsidRPr="006D7FCC">
              <w:rPr>
                <w:b/>
                <w:noProof/>
              </w:rPr>
              <w:t>*Fibrosis”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12/ (63.8%)</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13/ (81.3%)</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pPr>
            <w:r w:rsidRPr="006D7FCC">
              <w:t>LPS/IL-1 Mediated Inhibition of RXR Function (7.5E-14)</w:t>
            </w:r>
          </w:p>
          <w:p w:rsidR="00263BDF" w:rsidRPr="006D7FCC" w:rsidRDefault="00263BDF" w:rsidP="00B120D6">
            <w:pPr>
              <w:spacing w:after="0" w:line="240" w:lineRule="auto"/>
            </w:pPr>
            <w:proofErr w:type="spellStart"/>
            <w:r w:rsidRPr="006D7FCC">
              <w:t>Xenobiotic</w:t>
            </w:r>
            <w:proofErr w:type="spellEnd"/>
            <w:r w:rsidRPr="006D7FCC">
              <w:t xml:space="preserve"> Metabolism Signaling (1.7E-13)</w:t>
            </w:r>
          </w:p>
          <w:p w:rsidR="00263BDF" w:rsidRPr="006D7FCC" w:rsidRDefault="00263BDF" w:rsidP="00B120D6">
            <w:pPr>
              <w:spacing w:after="0" w:line="240" w:lineRule="auto"/>
            </w:pPr>
            <w:r w:rsidRPr="006D7FCC">
              <w:t xml:space="preserve">Metabolism of </w:t>
            </w:r>
            <w:proofErr w:type="spellStart"/>
            <w:r w:rsidRPr="006D7FCC">
              <w:t>Xenobiotics</w:t>
            </w:r>
            <w:proofErr w:type="spellEnd"/>
            <w:r w:rsidRPr="006D7FCC">
              <w:t xml:space="preserve"> by </w:t>
            </w:r>
            <w:proofErr w:type="spellStart"/>
            <w:r w:rsidRPr="006D7FCC">
              <w:t>Cytochrome</w:t>
            </w:r>
            <w:proofErr w:type="spellEnd"/>
            <w:r w:rsidRPr="006D7FCC">
              <w:t xml:space="preserve"> P450 (3.0E-13)</w:t>
            </w:r>
          </w:p>
          <w:p w:rsidR="00263BDF" w:rsidRPr="006D7FCC" w:rsidRDefault="00263BDF" w:rsidP="00B120D6">
            <w:pPr>
              <w:spacing w:after="0" w:line="240" w:lineRule="auto"/>
            </w:pPr>
            <w:r w:rsidRPr="006D7FCC">
              <w:t>FXR/RXR Activation (1.2E-11)</w:t>
            </w:r>
          </w:p>
          <w:p w:rsidR="00263BDF" w:rsidRPr="006D7FCC" w:rsidRDefault="00263BDF" w:rsidP="00B120D6">
            <w:pPr>
              <w:spacing w:after="0" w:line="240" w:lineRule="auto"/>
            </w:pPr>
            <w:r w:rsidRPr="006D7FCC">
              <w:t>PXR/RXR Activation (3.1E-11)</w:t>
            </w:r>
          </w:p>
          <w:p w:rsidR="00263BDF" w:rsidRPr="006D7FCC" w:rsidRDefault="00263BDF" w:rsidP="00B120D6">
            <w:pPr>
              <w:spacing w:after="0" w:line="240" w:lineRule="auto"/>
            </w:pPr>
            <w:r w:rsidRPr="006D7FCC">
              <w:t>Aryl Hydrocarbon Receptor Signaling (2.2E-5)</w:t>
            </w:r>
          </w:p>
          <w:p w:rsidR="00263BDF" w:rsidRPr="006D7FCC" w:rsidRDefault="00263BDF" w:rsidP="00B120D6">
            <w:pPr>
              <w:spacing w:after="0" w:line="240" w:lineRule="auto"/>
              <w:rPr>
                <w:rFonts w:eastAsia="Times New Roman"/>
                <w:bCs/>
              </w:rPr>
            </w:pPr>
            <w:r w:rsidRPr="006D7FCC">
              <w:rPr>
                <w:rFonts w:eastAsia="Times New Roman"/>
                <w:bCs/>
              </w:rPr>
              <w:t>NRF2-mediated Oxidative Stress Response (9.2E-5)</w:t>
            </w:r>
          </w:p>
          <w:p w:rsidR="00263BDF" w:rsidRPr="006D7FCC" w:rsidRDefault="00263BDF" w:rsidP="00B120D6">
            <w:pPr>
              <w:spacing w:after="0" w:line="240" w:lineRule="auto"/>
              <w:rPr>
                <w:rFonts w:eastAsia="Times New Roman"/>
                <w:bCs/>
              </w:rPr>
            </w:pPr>
            <w:r w:rsidRPr="006D7FCC">
              <w:rPr>
                <w:rFonts w:eastAsia="Times New Roman"/>
                <w:bCs/>
              </w:rPr>
              <w:t>Glutathione Metabolism (1.3E-4)</w:t>
            </w:r>
          </w:p>
          <w:p w:rsidR="00263BDF" w:rsidRPr="006D7FCC" w:rsidRDefault="00263BDF" w:rsidP="00B120D6">
            <w:pPr>
              <w:spacing w:after="0" w:line="240" w:lineRule="auto"/>
              <w:rPr>
                <w:rFonts w:eastAsia="Times New Roman"/>
                <w:bCs/>
              </w:rPr>
            </w:pPr>
            <w:proofErr w:type="spellStart"/>
            <w:r w:rsidRPr="006D7FCC">
              <w:rPr>
                <w:rFonts w:eastAsia="Times New Roman"/>
                <w:bCs/>
              </w:rPr>
              <w:t>Arginine</w:t>
            </w:r>
            <w:proofErr w:type="spellEnd"/>
            <w:r w:rsidRPr="006D7FCC">
              <w:rPr>
                <w:rFonts w:eastAsia="Times New Roman"/>
                <w:bCs/>
              </w:rPr>
              <w:t xml:space="preserve"> and </w:t>
            </w:r>
            <w:proofErr w:type="spellStart"/>
            <w:r w:rsidRPr="006D7FCC">
              <w:rPr>
                <w:rFonts w:eastAsia="Times New Roman"/>
                <w:bCs/>
              </w:rPr>
              <w:t>Proline</w:t>
            </w:r>
            <w:proofErr w:type="spellEnd"/>
            <w:r w:rsidRPr="006D7FCC">
              <w:rPr>
                <w:rFonts w:eastAsia="Times New Roman"/>
                <w:bCs/>
              </w:rPr>
              <w:t xml:space="preserve"> Metabolism (3.6E-4)</w:t>
            </w:r>
          </w:p>
          <w:p w:rsidR="00263BDF" w:rsidRPr="006D7FCC" w:rsidRDefault="00263BDF" w:rsidP="00B120D6">
            <w:pPr>
              <w:spacing w:after="0" w:line="240" w:lineRule="auto"/>
              <w:rPr>
                <w:rFonts w:eastAsia="Times New Roman"/>
                <w:bCs/>
              </w:rPr>
            </w:pPr>
            <w:r w:rsidRPr="006D7FCC">
              <w:rPr>
                <w:rFonts w:eastAsia="Times New Roman"/>
                <w:bCs/>
              </w:rPr>
              <w:t>Fatty Acid Metabolism (9.7E-4)</w:t>
            </w:r>
          </w:p>
          <w:p w:rsidR="00263BDF" w:rsidRPr="006D7FCC" w:rsidRDefault="00263BDF" w:rsidP="00B120D6">
            <w:pPr>
              <w:spacing w:after="0" w:line="240" w:lineRule="auto"/>
              <w:rPr>
                <w:rFonts w:eastAsia="Times New Roman"/>
                <w:bCs/>
              </w:rPr>
            </w:pPr>
            <w:r w:rsidRPr="006D7FCC">
              <w:rPr>
                <w:rFonts w:eastAsia="Times New Roman"/>
                <w:bCs/>
              </w:rPr>
              <w:t>Tryptophan Metabolism (1.6E-3)</w:t>
            </w:r>
          </w:p>
          <w:p w:rsidR="00263BDF" w:rsidRPr="006D7FCC" w:rsidRDefault="00263BDF" w:rsidP="00B120D6">
            <w:pPr>
              <w:spacing w:after="0" w:line="240" w:lineRule="auto"/>
              <w:rPr>
                <w:b/>
                <w:noProof/>
              </w:rPr>
            </w:pPr>
            <w:r w:rsidRPr="006D7FCC">
              <w:rPr>
                <w:rFonts w:eastAsia="Times New Roman"/>
                <w:b/>
                <w:bCs/>
              </w:rPr>
              <w:t>*Nuclear receptor signaling</w:t>
            </w:r>
          </w:p>
        </w:tc>
      </w:tr>
      <w:tr w:rsidR="00263BDF" w:rsidRPr="006D7FCC" w:rsidTr="00B120D6">
        <w:tc>
          <w:tcPr>
            <w:tcW w:w="1368" w:type="dxa"/>
          </w:tcPr>
          <w:p w:rsidR="00263BDF" w:rsidRPr="006D7FCC" w:rsidRDefault="00263BDF" w:rsidP="00B120D6">
            <w:pPr>
              <w:spacing w:after="0" w:line="240" w:lineRule="auto"/>
              <w:rPr>
                <w:noProof/>
              </w:rPr>
            </w:pPr>
            <w:r w:rsidRPr="006D7FCC">
              <w:rPr>
                <w:noProof/>
              </w:rPr>
              <w:t>14/ (36.6%)</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rPr>
                <w:noProof/>
              </w:rPr>
            </w:pPr>
          </w:p>
        </w:tc>
        <w:tc>
          <w:tcPr>
            <w:tcW w:w="630" w:type="dxa"/>
          </w:tcPr>
          <w:p w:rsidR="00263BDF" w:rsidRPr="006D7FCC" w:rsidRDefault="00263BDF" w:rsidP="00B120D6">
            <w:pPr>
              <w:spacing w:after="0" w:line="240" w:lineRule="auto"/>
              <w:rPr>
                <w:noProof/>
              </w:rPr>
            </w:pPr>
          </w:p>
        </w:tc>
        <w:tc>
          <w:tcPr>
            <w:tcW w:w="5508" w:type="dxa"/>
          </w:tcPr>
          <w:p w:rsidR="00263BDF" w:rsidRPr="006D7FCC" w:rsidRDefault="00263BDF" w:rsidP="00B120D6">
            <w:pPr>
              <w:spacing w:after="0" w:line="240" w:lineRule="auto"/>
              <w:rPr>
                <w:noProof/>
              </w:rPr>
            </w:pPr>
            <w:r w:rsidRPr="006D7FCC">
              <w:rPr>
                <w:noProof/>
              </w:rPr>
              <w:t>IGF-1 Signaling (1.8E-4)</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15/ (52.5%)</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16/ (52.6%)</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17/ (73.5%)</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18/ (69.3%)</w:t>
            </w:r>
          </w:p>
        </w:tc>
        <w:tc>
          <w:tcPr>
            <w:tcW w:w="990" w:type="dxa"/>
          </w:tcPr>
          <w:p w:rsidR="00263BDF" w:rsidRPr="006D7FCC" w:rsidRDefault="00263BDF" w:rsidP="00B120D6">
            <w:pPr>
              <w:spacing w:after="0" w:line="240" w:lineRule="auto"/>
              <w:rPr>
                <w:noProof/>
              </w:rPr>
            </w:pPr>
          </w:p>
        </w:tc>
        <w:tc>
          <w:tcPr>
            <w:tcW w:w="1080" w:type="dxa"/>
          </w:tcPr>
          <w:p w:rsidR="00263BDF" w:rsidRPr="006D7FCC" w:rsidRDefault="00263BDF" w:rsidP="00B120D6">
            <w:pPr>
              <w:spacing w:after="0" w:line="240" w:lineRule="auto"/>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19/ (42.8%)</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noProof/>
              </w:rPr>
            </w:pPr>
            <w:r w:rsidRPr="006D7FCC">
              <w:rPr>
                <w:noProof/>
              </w:rPr>
              <w:t>20/ (24.2%)</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21/ (66.6%)</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22/ (65.1%)</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23/ (62.5%)</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lastRenderedPageBreak/>
              <w:t>24/ (54.0%)</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r w:rsidRPr="006D7FCC">
              <w:rPr>
                <w:noProof/>
              </w:rPr>
              <w:t>Sphingolipid Metabolism (6.0E-5)</w:t>
            </w:r>
          </w:p>
          <w:p w:rsidR="00263BDF" w:rsidRPr="006D7FCC" w:rsidRDefault="00263BDF" w:rsidP="00B120D6">
            <w:pPr>
              <w:spacing w:after="0" w:line="240" w:lineRule="auto"/>
              <w:rPr>
                <w:noProof/>
              </w:rPr>
            </w:pPr>
            <w:r w:rsidRPr="006D7FCC">
              <w:rPr>
                <w:b/>
                <w:noProof/>
              </w:rPr>
              <w:t>*Paneth cell markers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25/ (58.3%)</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26/ (58.3%)</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27/ (76.9%)</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28/ (64.0%)</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29/ (63.3%)</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30/ (51.5%)</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noProof/>
              </w:rPr>
            </w:pPr>
            <w:r w:rsidRPr="006D7FCC">
              <w:rPr>
                <w:noProof/>
              </w:rPr>
              <w:t>31/ (33.7%)</w:t>
            </w:r>
          </w:p>
        </w:tc>
        <w:tc>
          <w:tcPr>
            <w:tcW w:w="990" w:type="dxa"/>
          </w:tcPr>
          <w:p w:rsidR="00263BDF" w:rsidRPr="006D7FCC" w:rsidRDefault="00263BDF" w:rsidP="00B120D6">
            <w:pPr>
              <w:spacing w:after="0" w:line="240" w:lineRule="auto"/>
              <w:jc w:val="center"/>
              <w:rPr>
                <w:rFonts w:eastAsia="Times New Roman"/>
                <w:bCs/>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rFonts w:eastAsia="Times New Roman"/>
                <w:bCs/>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32/ (85.6%)</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r w:rsidRPr="006D7FCC">
              <w:rPr>
                <w:noProof/>
              </w:rPr>
              <w:t>Primary Immunodeficiency Signaling (1.5E-8)</w:t>
            </w:r>
          </w:p>
          <w:p w:rsidR="00263BDF" w:rsidRPr="006D7FCC" w:rsidRDefault="00263BDF" w:rsidP="00B120D6">
            <w:pPr>
              <w:spacing w:after="0" w:line="240" w:lineRule="auto"/>
              <w:rPr>
                <w:b/>
                <w:noProof/>
              </w:rPr>
            </w:pPr>
            <w:r w:rsidRPr="006D7FCC">
              <w:rPr>
                <w:b/>
                <w:noProof/>
              </w:rPr>
              <w:t>*Immunoglobulins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33/ (45.3%)</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34/ (48.0%)</w:t>
            </w:r>
          </w:p>
        </w:tc>
        <w:tc>
          <w:tcPr>
            <w:tcW w:w="990" w:type="dxa"/>
          </w:tcPr>
          <w:p w:rsidR="00263BDF" w:rsidRPr="006D7FCC" w:rsidRDefault="00263BDF" w:rsidP="00B120D6">
            <w:pPr>
              <w:spacing w:after="0" w:line="240" w:lineRule="auto"/>
              <w:jc w:val="center"/>
              <w:rPr>
                <w:noProof/>
              </w:rPr>
            </w:pPr>
            <w:r w:rsidRPr="006D7FCC">
              <w:rPr>
                <w:rFonts w:eastAsia="Times New Roman"/>
                <w:bCs/>
              </w:rPr>
              <w:t>↑</w:t>
            </w: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pPr>
            <w:r w:rsidRPr="006D7FCC">
              <w:t>Role of Macrophages, Fibroblasts, and Endothelial Cells in Rheumatoid Arthritis (4.9E-7)</w:t>
            </w:r>
          </w:p>
          <w:p w:rsidR="00263BDF" w:rsidRPr="006D7FCC" w:rsidRDefault="00263BDF" w:rsidP="00B120D6">
            <w:pPr>
              <w:spacing w:after="0" w:line="240" w:lineRule="auto"/>
            </w:pPr>
            <w:r w:rsidRPr="006D7FCC">
              <w:t>IL-17 Signaling (3.9E-6)</w:t>
            </w:r>
          </w:p>
          <w:p w:rsidR="00263BDF" w:rsidRPr="006D7FCC" w:rsidRDefault="00263BDF" w:rsidP="00B120D6">
            <w:pPr>
              <w:spacing w:after="0" w:line="240" w:lineRule="auto"/>
            </w:pPr>
            <w:proofErr w:type="spellStart"/>
            <w:r w:rsidRPr="006D7FCC">
              <w:t>Glucocorticoid</w:t>
            </w:r>
            <w:proofErr w:type="spellEnd"/>
            <w:r w:rsidRPr="006D7FCC">
              <w:t xml:space="preserve"> Receptor Signaling (1.4E-5)</w:t>
            </w:r>
          </w:p>
          <w:p w:rsidR="00263BDF" w:rsidRPr="006D7FCC" w:rsidRDefault="00263BDF" w:rsidP="00B120D6">
            <w:pPr>
              <w:spacing w:after="0" w:line="240" w:lineRule="auto"/>
            </w:pPr>
            <w:r w:rsidRPr="006D7FCC">
              <w:t>Atherosclerosis Signaling (1.5E-5)</w:t>
            </w:r>
          </w:p>
          <w:p w:rsidR="00263BDF" w:rsidRPr="006D7FCC" w:rsidRDefault="00263BDF" w:rsidP="00B120D6">
            <w:pPr>
              <w:spacing w:after="0" w:line="240" w:lineRule="auto"/>
            </w:pPr>
            <w:r w:rsidRPr="006D7FCC">
              <w:t>Acute Phase Response Signaling (1.7E-5)</w:t>
            </w:r>
          </w:p>
          <w:p w:rsidR="00263BDF" w:rsidRPr="006D7FCC" w:rsidRDefault="00263BDF" w:rsidP="00B120D6">
            <w:pPr>
              <w:spacing w:after="0" w:line="240" w:lineRule="auto"/>
            </w:pPr>
            <w:r w:rsidRPr="006D7FCC">
              <w:t>HIF1α Signaling (3.2E-4)</w:t>
            </w:r>
          </w:p>
          <w:p w:rsidR="00263BDF" w:rsidRPr="006D7FCC" w:rsidRDefault="00263BDF" w:rsidP="00B120D6">
            <w:pPr>
              <w:spacing w:after="0" w:line="240" w:lineRule="auto"/>
            </w:pPr>
            <w:r w:rsidRPr="006D7FCC">
              <w:t xml:space="preserve">Systemic Lupus </w:t>
            </w:r>
            <w:proofErr w:type="spellStart"/>
            <w:r w:rsidRPr="006D7FCC">
              <w:t>Erythematosus</w:t>
            </w:r>
            <w:proofErr w:type="spellEnd"/>
            <w:r w:rsidRPr="006D7FCC">
              <w:t xml:space="preserve"> Signaling (5.4E-4)</w:t>
            </w:r>
          </w:p>
          <w:p w:rsidR="00263BDF" w:rsidRPr="006D7FCC" w:rsidRDefault="00263BDF" w:rsidP="00B120D6">
            <w:pPr>
              <w:spacing w:after="0" w:line="240" w:lineRule="auto"/>
            </w:pPr>
            <w:proofErr w:type="spellStart"/>
            <w:r w:rsidRPr="006D7FCC">
              <w:t>Dendritic</w:t>
            </w:r>
            <w:proofErr w:type="spellEnd"/>
            <w:r w:rsidRPr="006D7FCC">
              <w:t xml:space="preserve"> Cell Maturation (1.2E-3)</w:t>
            </w:r>
          </w:p>
          <w:p w:rsidR="00263BDF" w:rsidRPr="006D7FCC" w:rsidRDefault="00263BDF" w:rsidP="00B120D6">
            <w:pPr>
              <w:spacing w:after="0" w:line="240" w:lineRule="auto"/>
              <w:rPr>
                <w:rFonts w:eastAsia="Times New Roman"/>
                <w:bCs/>
              </w:rPr>
            </w:pPr>
            <w:r w:rsidRPr="006D7FCC">
              <w:t xml:space="preserve">Colorectal Cancer Metastasis Signaling (7.0E-3) </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35/(55.8%)</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noProof/>
              </w:rPr>
            </w:pPr>
            <w:r w:rsidRPr="006D7FCC">
              <w:rPr>
                <w:noProof/>
              </w:rPr>
              <w:t>36/ (57.3%)</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37/ (65.9%)</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pPr>
            <w:r w:rsidRPr="006D7FCC">
              <w:t>Antigen Presentation Pathway (6.42E-24)</w:t>
            </w:r>
          </w:p>
          <w:p w:rsidR="00263BDF" w:rsidRPr="006D7FCC" w:rsidRDefault="00263BDF" w:rsidP="00B120D6">
            <w:pPr>
              <w:spacing w:after="0" w:line="240" w:lineRule="auto"/>
            </w:pPr>
            <w:r w:rsidRPr="006D7FCC">
              <w:t xml:space="preserve">Crosstalk between </w:t>
            </w:r>
            <w:proofErr w:type="spellStart"/>
            <w:r w:rsidRPr="006D7FCC">
              <w:t>Dendritic</w:t>
            </w:r>
            <w:proofErr w:type="spellEnd"/>
            <w:r w:rsidRPr="006D7FCC">
              <w:t xml:space="preserve"> Cells and Natural Killer Cells (6.83E-17)</w:t>
            </w:r>
          </w:p>
          <w:p w:rsidR="00263BDF" w:rsidRPr="006D7FCC" w:rsidRDefault="00263BDF" w:rsidP="00B120D6">
            <w:pPr>
              <w:spacing w:after="0" w:line="240" w:lineRule="auto"/>
            </w:pPr>
            <w:r w:rsidRPr="006D7FCC">
              <w:t>Allograft Rejection Signaling (2E-15)</w:t>
            </w:r>
          </w:p>
          <w:p w:rsidR="00263BDF" w:rsidRPr="006D7FCC" w:rsidRDefault="00263BDF" w:rsidP="00B120D6">
            <w:pPr>
              <w:spacing w:after="0" w:line="240" w:lineRule="auto"/>
            </w:pPr>
            <w:r w:rsidRPr="006D7FCC">
              <w:t>Autoimmune Thyroid Disease Signaling (3.14E-15)</w:t>
            </w:r>
          </w:p>
          <w:p w:rsidR="00263BDF" w:rsidRPr="006D7FCC" w:rsidRDefault="00263BDF" w:rsidP="00B120D6">
            <w:pPr>
              <w:spacing w:after="0" w:line="240" w:lineRule="auto"/>
            </w:pPr>
            <w:r w:rsidRPr="006D7FCC">
              <w:t>Graft-versus-Host Disease Signaling (5.88E-15)</w:t>
            </w:r>
          </w:p>
          <w:p w:rsidR="00263BDF" w:rsidRPr="006D7FCC" w:rsidRDefault="00263BDF" w:rsidP="00B120D6">
            <w:pPr>
              <w:spacing w:after="0" w:line="240" w:lineRule="auto"/>
            </w:pPr>
            <w:r w:rsidRPr="006D7FCC">
              <w:t>Type I Diabetes Mellitus Signaling (7.75E-12)</w:t>
            </w:r>
          </w:p>
          <w:p w:rsidR="00263BDF" w:rsidRPr="006D7FCC" w:rsidRDefault="00263BDF" w:rsidP="00B120D6">
            <w:pPr>
              <w:spacing w:after="0" w:line="240" w:lineRule="auto"/>
            </w:pPr>
            <w:proofErr w:type="spellStart"/>
            <w:r w:rsidRPr="006D7FCC">
              <w:t>Dendritic</w:t>
            </w:r>
            <w:proofErr w:type="spellEnd"/>
            <w:r w:rsidRPr="006D7FCC">
              <w:t xml:space="preserve"> Cell Maturation (7.92E-11)</w:t>
            </w:r>
          </w:p>
          <w:p w:rsidR="00263BDF" w:rsidRPr="006D7FCC" w:rsidRDefault="00263BDF" w:rsidP="00B120D6">
            <w:pPr>
              <w:spacing w:after="0" w:line="240" w:lineRule="auto"/>
            </w:pPr>
            <w:proofErr w:type="spellStart"/>
            <w:r w:rsidRPr="006D7FCC">
              <w:t>Neuroprotective</w:t>
            </w:r>
            <w:proofErr w:type="spellEnd"/>
            <w:r w:rsidRPr="006D7FCC">
              <w:t xml:space="preserve"> Role of THOP1 In Alzheimer’s </w:t>
            </w:r>
            <w:proofErr w:type="spellStart"/>
            <w:r w:rsidRPr="006D7FCC">
              <w:t>Disese</w:t>
            </w:r>
            <w:proofErr w:type="spellEnd"/>
            <w:r w:rsidRPr="006D7FCC">
              <w:t xml:space="preserve"> (5.87E-10)</w:t>
            </w:r>
          </w:p>
          <w:p w:rsidR="00263BDF" w:rsidRPr="006D7FCC" w:rsidRDefault="00263BDF" w:rsidP="00B120D6">
            <w:pPr>
              <w:spacing w:after="0" w:line="240" w:lineRule="auto"/>
            </w:pPr>
            <w:r w:rsidRPr="006D7FCC">
              <w:t xml:space="preserve">Systemic Lupus </w:t>
            </w:r>
            <w:proofErr w:type="spellStart"/>
            <w:r w:rsidRPr="006D7FCC">
              <w:t>Erthematosus</w:t>
            </w:r>
            <w:proofErr w:type="spellEnd"/>
            <w:r w:rsidRPr="006D7FCC">
              <w:t xml:space="preserve"> Signaling (1.19E-7)</w:t>
            </w:r>
          </w:p>
          <w:p w:rsidR="00263BDF" w:rsidRPr="006D7FCC" w:rsidRDefault="00263BDF" w:rsidP="00B120D6">
            <w:pPr>
              <w:spacing w:after="0" w:line="240" w:lineRule="auto"/>
            </w:pPr>
            <w:r w:rsidRPr="006D7FCC">
              <w:t>Communication between Innate and Adaptive Immune Cells (7,1E-7)</w:t>
            </w:r>
          </w:p>
          <w:p w:rsidR="00263BDF" w:rsidRPr="006D7FCC" w:rsidRDefault="00263BDF" w:rsidP="00B120D6">
            <w:pPr>
              <w:spacing w:after="0" w:line="240" w:lineRule="auto"/>
            </w:pPr>
            <w:r w:rsidRPr="006D7FCC">
              <w:t xml:space="preserve">Protein </w:t>
            </w:r>
            <w:proofErr w:type="spellStart"/>
            <w:r w:rsidRPr="006D7FCC">
              <w:t>Ubiquitination</w:t>
            </w:r>
            <w:proofErr w:type="spellEnd"/>
            <w:r w:rsidRPr="006D7FCC">
              <w:t xml:space="preserve"> Pathway (4.4E-5)</w:t>
            </w:r>
          </w:p>
          <w:p w:rsidR="00263BDF" w:rsidRPr="006D7FCC" w:rsidRDefault="00263BDF" w:rsidP="00B120D6">
            <w:pPr>
              <w:spacing w:after="0" w:line="240" w:lineRule="auto"/>
              <w:rPr>
                <w:b/>
                <w:noProof/>
              </w:rPr>
            </w:pPr>
            <w:r w:rsidRPr="006D7FCC">
              <w:rPr>
                <w:b/>
              </w:rPr>
              <w:t>*MHC molecules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lastRenderedPageBreak/>
              <w:t>38/ (64.8%)</w:t>
            </w:r>
          </w:p>
        </w:tc>
        <w:tc>
          <w:tcPr>
            <w:tcW w:w="990" w:type="dxa"/>
          </w:tcPr>
          <w:p w:rsidR="00263BDF" w:rsidRPr="006D7FCC" w:rsidRDefault="00263BDF" w:rsidP="00B120D6">
            <w:pPr>
              <w:spacing w:after="0" w:line="240" w:lineRule="auto"/>
              <w:jc w:val="center"/>
              <w:rPr>
                <w:noProof/>
              </w:rPr>
            </w:pPr>
            <w:r w:rsidRPr="006D7FCC">
              <w:rPr>
                <w:noProof/>
              </w:rPr>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39/ (63.8%)</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40/ (52.4%)</w:t>
            </w:r>
          </w:p>
        </w:tc>
        <w:tc>
          <w:tcPr>
            <w:tcW w:w="990" w:type="dxa"/>
          </w:tcPr>
          <w:p w:rsidR="00263BDF" w:rsidRPr="006D7FCC" w:rsidRDefault="00263BDF" w:rsidP="00B120D6">
            <w:pPr>
              <w:tabs>
                <w:tab w:val="left" w:pos="285"/>
                <w:tab w:val="center" w:pos="387"/>
              </w:tabs>
              <w:spacing w:after="0" w:line="240" w:lineRule="auto"/>
              <w:rPr>
                <w:noProof/>
              </w:rPr>
            </w:pPr>
            <w:r w:rsidRPr="006D7FCC">
              <w:rPr>
                <w:noProof/>
              </w:rPr>
              <w:tab/>
            </w:r>
            <w:r w:rsidRPr="006D7FCC">
              <w:rPr>
                <w:noProof/>
              </w:rPr>
              <w:tab/>
              <w:t>↓</w:t>
            </w: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41/ (57.2%)</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rFonts w:eastAsia="Times New Roman"/>
                <w:bCs/>
              </w:rPr>
              <w:t>↑</w:t>
            </w: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r w:rsidRPr="006D7FCC">
              <w:rPr>
                <w:b/>
                <w:noProof/>
              </w:rPr>
              <w:t>*Adult hemoglobin genes</w:t>
            </w: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42/ (52.3%)</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p>
        </w:tc>
        <w:tc>
          <w:tcPr>
            <w:tcW w:w="630" w:type="dxa"/>
          </w:tcPr>
          <w:p w:rsidR="00263BDF" w:rsidRPr="006D7FCC" w:rsidRDefault="00263BDF" w:rsidP="00B120D6">
            <w:pPr>
              <w:spacing w:after="0" w:line="240" w:lineRule="auto"/>
              <w:jc w:val="center"/>
              <w:rPr>
                <w:noProof/>
              </w:rPr>
            </w:pPr>
            <w:r w:rsidRPr="006D7FCC">
              <w:rPr>
                <w:noProof/>
              </w:rPr>
              <w:t>↓</w:t>
            </w:r>
          </w:p>
        </w:tc>
        <w:tc>
          <w:tcPr>
            <w:tcW w:w="5508" w:type="dxa"/>
          </w:tcPr>
          <w:p w:rsidR="00263BDF" w:rsidRPr="006D7FCC" w:rsidRDefault="00263BDF" w:rsidP="00B120D6">
            <w:pPr>
              <w:spacing w:after="0" w:line="240" w:lineRule="auto"/>
              <w:rPr>
                <w:noProof/>
              </w:rPr>
            </w:pPr>
          </w:p>
        </w:tc>
      </w:tr>
      <w:tr w:rsidR="00263BDF" w:rsidRPr="006D7FCC" w:rsidTr="00B120D6">
        <w:tc>
          <w:tcPr>
            <w:tcW w:w="1368" w:type="dxa"/>
          </w:tcPr>
          <w:p w:rsidR="00263BDF" w:rsidRPr="006D7FCC" w:rsidRDefault="00263BDF" w:rsidP="00B120D6">
            <w:pPr>
              <w:spacing w:after="0" w:line="240" w:lineRule="auto"/>
              <w:rPr>
                <w:b/>
                <w:noProof/>
              </w:rPr>
            </w:pPr>
            <w:r w:rsidRPr="006D7FCC">
              <w:rPr>
                <w:b/>
                <w:noProof/>
              </w:rPr>
              <w:t>43/ (93.6%)</w:t>
            </w:r>
          </w:p>
        </w:tc>
        <w:tc>
          <w:tcPr>
            <w:tcW w:w="990" w:type="dxa"/>
          </w:tcPr>
          <w:p w:rsidR="00263BDF" w:rsidRPr="006D7FCC" w:rsidRDefault="00263BDF" w:rsidP="00B120D6">
            <w:pPr>
              <w:spacing w:after="0" w:line="240" w:lineRule="auto"/>
              <w:jc w:val="center"/>
              <w:rPr>
                <w:noProof/>
              </w:rPr>
            </w:pPr>
          </w:p>
        </w:tc>
        <w:tc>
          <w:tcPr>
            <w:tcW w:w="1080" w:type="dxa"/>
          </w:tcPr>
          <w:p w:rsidR="00263BDF" w:rsidRPr="006D7FCC" w:rsidRDefault="00263BDF" w:rsidP="00B120D6">
            <w:pPr>
              <w:spacing w:after="0" w:line="240" w:lineRule="auto"/>
              <w:jc w:val="center"/>
              <w:rPr>
                <w:noProof/>
              </w:rPr>
            </w:pPr>
            <w:r w:rsidRPr="006D7FCC">
              <w:rPr>
                <w:noProof/>
              </w:rPr>
              <w:t>↓</w:t>
            </w:r>
          </w:p>
        </w:tc>
        <w:tc>
          <w:tcPr>
            <w:tcW w:w="630" w:type="dxa"/>
          </w:tcPr>
          <w:p w:rsidR="00263BDF" w:rsidRPr="006D7FCC" w:rsidRDefault="00263BDF" w:rsidP="00B120D6">
            <w:pPr>
              <w:spacing w:after="0" w:line="240" w:lineRule="auto"/>
              <w:jc w:val="center"/>
              <w:rPr>
                <w:noProof/>
              </w:rPr>
            </w:pPr>
            <w:r w:rsidRPr="006D7FCC">
              <w:rPr>
                <w:rFonts w:eastAsia="Times New Roman"/>
                <w:bCs/>
              </w:rPr>
              <w:t>↑</w:t>
            </w:r>
          </w:p>
        </w:tc>
        <w:tc>
          <w:tcPr>
            <w:tcW w:w="5508" w:type="dxa"/>
          </w:tcPr>
          <w:p w:rsidR="00263BDF" w:rsidRPr="006D7FCC" w:rsidRDefault="00263BDF" w:rsidP="00B120D6">
            <w:pPr>
              <w:spacing w:after="0" w:line="240" w:lineRule="auto"/>
              <w:rPr>
                <w:noProof/>
              </w:rPr>
            </w:pPr>
            <w:r w:rsidRPr="006D7FCC">
              <w:rPr>
                <w:noProof/>
              </w:rPr>
              <w:t>Retinol Metabolism (2.5E-11)</w:t>
            </w:r>
          </w:p>
          <w:p w:rsidR="00263BDF" w:rsidRPr="006D7FCC" w:rsidRDefault="00263BDF" w:rsidP="00B120D6">
            <w:pPr>
              <w:spacing w:after="0" w:line="240" w:lineRule="auto"/>
              <w:rPr>
                <w:noProof/>
              </w:rPr>
            </w:pPr>
            <w:r w:rsidRPr="006D7FCC">
              <w:rPr>
                <w:noProof/>
              </w:rPr>
              <w:t>Pentose and Glucuronate Interconversions (3.7E-11)</w:t>
            </w:r>
          </w:p>
          <w:p w:rsidR="00263BDF" w:rsidRPr="006D7FCC" w:rsidRDefault="00263BDF" w:rsidP="00B120D6">
            <w:pPr>
              <w:spacing w:after="0" w:line="240" w:lineRule="auto"/>
              <w:rPr>
                <w:noProof/>
              </w:rPr>
            </w:pPr>
            <w:r w:rsidRPr="006D7FCC">
              <w:rPr>
                <w:noProof/>
              </w:rPr>
              <w:t>Androgen and Estrogen Metabolism (6.9E-10)</w:t>
            </w:r>
          </w:p>
          <w:p w:rsidR="00263BDF" w:rsidRPr="006D7FCC" w:rsidRDefault="00263BDF" w:rsidP="00B120D6">
            <w:pPr>
              <w:spacing w:after="0" w:line="240" w:lineRule="auto"/>
              <w:rPr>
                <w:noProof/>
              </w:rPr>
            </w:pPr>
            <w:r w:rsidRPr="006D7FCC">
              <w:rPr>
                <w:noProof/>
              </w:rPr>
              <w:t>Starch and Sucrose Metabolism (8.2E-10)</w:t>
            </w:r>
          </w:p>
          <w:p w:rsidR="00263BDF" w:rsidRPr="006D7FCC" w:rsidRDefault="00263BDF" w:rsidP="00B120D6">
            <w:pPr>
              <w:spacing w:after="0" w:line="240" w:lineRule="auto"/>
              <w:rPr>
                <w:noProof/>
              </w:rPr>
            </w:pPr>
            <w:r w:rsidRPr="006D7FCC">
              <w:rPr>
                <w:noProof/>
              </w:rPr>
              <w:t>Metabolism of Xenobiotics by Cytochrome P450 (1.6E-9)</w:t>
            </w:r>
          </w:p>
          <w:p w:rsidR="00263BDF" w:rsidRPr="006D7FCC" w:rsidRDefault="00263BDF" w:rsidP="00B120D6">
            <w:pPr>
              <w:spacing w:after="0" w:line="240" w:lineRule="auto"/>
              <w:rPr>
                <w:noProof/>
              </w:rPr>
            </w:pPr>
            <w:r w:rsidRPr="006D7FCC">
              <w:rPr>
                <w:noProof/>
              </w:rPr>
              <w:t>Xenobiotic Metabolism Signaling (1.1E-7)</w:t>
            </w:r>
          </w:p>
          <w:p w:rsidR="00263BDF" w:rsidRPr="006D7FCC" w:rsidRDefault="00263BDF" w:rsidP="00B120D6">
            <w:pPr>
              <w:spacing w:after="0" w:line="240" w:lineRule="auto"/>
              <w:rPr>
                <w:noProof/>
              </w:rPr>
            </w:pPr>
            <w:r w:rsidRPr="006D7FCC">
              <w:rPr>
                <w:b/>
                <w:noProof/>
              </w:rPr>
              <w:t>*UDP-glucuronyltransferases</w:t>
            </w:r>
          </w:p>
        </w:tc>
      </w:tr>
    </w:tbl>
    <w:p w:rsidR="00263BDF" w:rsidRPr="006D7FCC" w:rsidRDefault="00263BDF" w:rsidP="00263BDF">
      <w:pPr>
        <w:spacing w:after="0" w:line="240" w:lineRule="auto"/>
        <w:rPr>
          <w:noProof/>
        </w:rPr>
      </w:pPr>
    </w:p>
    <w:p w:rsidR="00263BDF" w:rsidRPr="00BB65B5" w:rsidRDefault="00263BDF" w:rsidP="00263BDF">
      <w:pPr>
        <w:spacing w:after="0" w:line="240" w:lineRule="auto"/>
      </w:pPr>
    </w:p>
    <w:p w:rsidR="00FF52C5" w:rsidRDefault="00FF52C5"/>
    <w:sectPr w:rsidR="00FF52C5" w:rsidSect="00302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BDF"/>
    <w:rsid w:val="00263BDF"/>
    <w:rsid w:val="0079228A"/>
    <w:rsid w:val="00CF2844"/>
    <w:rsid w:val="00FF5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DF"/>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4204</Characters>
  <Application>Microsoft Office Word</Application>
  <DocSecurity>0</DocSecurity>
  <Lines>35</Lines>
  <Paragraphs>9</Paragraphs>
  <ScaleCrop>false</ScaleCrop>
  <Company>Stony Brook University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2</cp:revision>
  <dcterms:created xsi:type="dcterms:W3CDTF">2011-11-29T20:19:00Z</dcterms:created>
  <dcterms:modified xsi:type="dcterms:W3CDTF">2011-11-29T20:19:00Z</dcterms:modified>
</cp:coreProperties>
</file>