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3155" w14:textId="77777777" w:rsidR="00B71B67" w:rsidRPr="00311642" w:rsidRDefault="00B71B67" w:rsidP="00B71B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45B79C0" w14:textId="77777777" w:rsidR="00B71B67" w:rsidRPr="00311642" w:rsidRDefault="00B71B67" w:rsidP="00B71B67">
      <w:pPr>
        <w:ind w:right="54"/>
        <w:jc w:val="both"/>
        <w:rPr>
          <w:rFonts w:ascii="Arial" w:hAnsi="Arial"/>
        </w:rPr>
      </w:pPr>
      <w:r w:rsidRPr="00311642">
        <w:rPr>
          <w:rFonts w:ascii="Arial" w:hAnsi="Arial"/>
          <w:b/>
        </w:rPr>
        <w:t>Supplementary Table 1: A summary of the panel of tests performed on all mice in the study.</w:t>
      </w:r>
      <w:bookmarkStart w:id="0" w:name="_GoBack"/>
      <w:bookmarkEnd w:id="0"/>
    </w:p>
    <w:p w14:paraId="645A757E" w14:textId="77777777" w:rsidR="00B71B67" w:rsidRPr="00311642" w:rsidRDefault="00B71B67" w:rsidP="00B71B67">
      <w:pPr>
        <w:ind w:right="-1339"/>
        <w:jc w:val="both"/>
        <w:rPr>
          <w:rFonts w:ascii="Arial" w:hAnsi="Arial"/>
          <w:sz w:val="16"/>
        </w:rPr>
      </w:pPr>
      <w:r w:rsidRPr="00311642">
        <w:rPr>
          <w:rFonts w:ascii="Arial" w:hAnsi="Arial"/>
          <w:b/>
        </w:rPr>
        <w:t xml:space="preserve">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835"/>
        <w:gridCol w:w="7087"/>
      </w:tblGrid>
      <w:tr w:rsidR="00B71B67" w:rsidRPr="00311642" w14:paraId="47B8FC95" w14:textId="77777777" w:rsidTr="007A1F63">
        <w:trPr>
          <w:trHeight w:val="324"/>
        </w:trPr>
        <w:tc>
          <w:tcPr>
            <w:tcW w:w="1277" w:type="dxa"/>
            <w:tcMar>
              <w:top w:w="57" w:type="dxa"/>
            </w:tcMar>
            <w:vAlign w:val="center"/>
          </w:tcPr>
          <w:p w14:paraId="7D5A4C32" w14:textId="77777777" w:rsidR="00B71B67" w:rsidRPr="00311642" w:rsidRDefault="00B71B67" w:rsidP="007A1F63">
            <w:pPr>
              <w:spacing w:line="360" w:lineRule="auto"/>
              <w:ind w:left="-392" w:firstLine="392"/>
              <w:jc w:val="both"/>
              <w:rPr>
                <w:rFonts w:ascii="Arial" w:hAnsi="Arial"/>
                <w:b/>
                <w:sz w:val="16"/>
              </w:rPr>
            </w:pPr>
            <w:r w:rsidRPr="00311642">
              <w:rPr>
                <w:rFonts w:ascii="Arial" w:hAnsi="Arial"/>
                <w:b/>
                <w:sz w:val="16"/>
              </w:rPr>
              <w:t>Age of mouse</w:t>
            </w:r>
          </w:p>
        </w:tc>
        <w:tc>
          <w:tcPr>
            <w:tcW w:w="2835" w:type="dxa"/>
            <w:tcMar>
              <w:top w:w="57" w:type="dxa"/>
            </w:tcMar>
            <w:vAlign w:val="center"/>
          </w:tcPr>
          <w:p w14:paraId="0C2A09D0" w14:textId="77777777" w:rsidR="00B71B67" w:rsidRPr="00311642" w:rsidRDefault="00B71B67" w:rsidP="007A1F63">
            <w:pPr>
              <w:spacing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311642">
              <w:rPr>
                <w:rFonts w:ascii="Arial" w:hAnsi="Arial"/>
                <w:b/>
                <w:sz w:val="16"/>
              </w:rPr>
              <w:t>Test name</w:t>
            </w:r>
          </w:p>
        </w:tc>
        <w:tc>
          <w:tcPr>
            <w:tcW w:w="7087" w:type="dxa"/>
            <w:tcMar>
              <w:top w:w="57" w:type="dxa"/>
            </w:tcMar>
            <w:vAlign w:val="center"/>
          </w:tcPr>
          <w:p w14:paraId="43C7168D" w14:textId="77777777" w:rsidR="00B71B67" w:rsidRPr="00311642" w:rsidRDefault="00B71B67" w:rsidP="007A1F63">
            <w:pPr>
              <w:spacing w:line="360" w:lineRule="auto"/>
              <w:ind w:left="176" w:hanging="176"/>
              <w:jc w:val="both"/>
              <w:rPr>
                <w:rFonts w:ascii="Arial" w:hAnsi="Arial"/>
                <w:b/>
                <w:sz w:val="16"/>
              </w:rPr>
            </w:pPr>
            <w:r w:rsidRPr="00311642">
              <w:rPr>
                <w:rFonts w:ascii="Arial" w:hAnsi="Arial"/>
                <w:b/>
                <w:sz w:val="16"/>
              </w:rPr>
              <w:t>Assessment</w:t>
            </w:r>
          </w:p>
        </w:tc>
      </w:tr>
      <w:tr w:rsidR="00B71B67" w:rsidRPr="00311642" w14:paraId="7C149F1A" w14:textId="77777777" w:rsidTr="007A1F63">
        <w:trPr>
          <w:trHeight w:val="286"/>
        </w:trPr>
        <w:tc>
          <w:tcPr>
            <w:tcW w:w="1277" w:type="dxa"/>
            <w:vAlign w:val="center"/>
          </w:tcPr>
          <w:p w14:paraId="1EBEC669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4-week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17CE5B4D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"/>
                <w:sz w:val="16"/>
              </w:rPr>
              <w:t>Weighing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62915271" w14:textId="77777777" w:rsidR="00B71B67" w:rsidRPr="00311642" w:rsidRDefault="00B71B67" w:rsidP="007A1F63">
            <w:pPr>
              <w:ind w:left="317" w:hanging="317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"/>
                <w:sz w:val="16"/>
              </w:rPr>
              <w:t>Monitor body weight (done on a weekly basis)</w:t>
            </w:r>
          </w:p>
        </w:tc>
      </w:tr>
      <w:tr w:rsidR="00B71B67" w:rsidRPr="00311642" w14:paraId="096981E1" w14:textId="77777777" w:rsidTr="007A1F63">
        <w:trPr>
          <w:trHeight w:val="307"/>
        </w:trPr>
        <w:tc>
          <w:tcPr>
            <w:tcW w:w="1277" w:type="dxa"/>
            <w:vAlign w:val="center"/>
          </w:tcPr>
          <w:p w14:paraId="3E28916C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4-week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355FA225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"/>
                <w:sz w:val="16"/>
              </w:rPr>
              <w:t>Hair dysmorphology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30DC2AFA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"/>
                <w:sz w:val="16"/>
              </w:rPr>
              <w:t>Check coat formation and development</w:t>
            </w:r>
          </w:p>
        </w:tc>
      </w:tr>
      <w:tr w:rsidR="00B71B67" w:rsidRPr="00311642" w14:paraId="7E6A9703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2FA84C09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6-week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6679D10E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Arial"/>
                <w:sz w:val="16"/>
                <w:szCs w:val="22"/>
              </w:rPr>
              <w:t>Hair follicle cycling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6A55F37B" w14:textId="77777777" w:rsidR="00B71B67" w:rsidRPr="00311642" w:rsidRDefault="00B71B67" w:rsidP="007A1F63">
            <w:pPr>
              <w:ind w:left="34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Arial"/>
                <w:sz w:val="16"/>
                <w:szCs w:val="22"/>
              </w:rPr>
              <w:t>Investigate cycling of the hair follicles</w:t>
            </w:r>
          </w:p>
        </w:tc>
      </w:tr>
      <w:tr w:rsidR="00B71B67" w:rsidRPr="00311642" w14:paraId="6C3359C6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5A304C6B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9-week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09F0884E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Open field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6BA9CD3C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Measure locomotion, habituation and fear/anxiety responses to a novel environment</w:t>
            </w:r>
          </w:p>
        </w:tc>
      </w:tr>
      <w:tr w:rsidR="00B71B67" w:rsidRPr="00311642" w14:paraId="63C415E2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0907FF30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9-week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12D58A77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AdvPTimes"/>
                <w:sz w:val="16"/>
                <w:szCs w:val="20"/>
                <w:lang w:bidi="en-US"/>
              </w:rPr>
              <w:t xml:space="preserve">Modified SHIRPA 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252DA949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AdvPTimes"/>
                <w:sz w:val="16"/>
                <w:szCs w:val="20"/>
                <w:lang w:bidi="en-US"/>
              </w:rPr>
              <w:t>Assess the presence of any gross motor and neurological abnormalities</w:t>
            </w:r>
          </w:p>
        </w:tc>
      </w:tr>
      <w:tr w:rsidR="00B71B67" w:rsidRPr="00311642" w14:paraId="6E71D338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74885A10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9-week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2DF40549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Grip strength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057B8389" w14:textId="77777777" w:rsidR="00B71B67" w:rsidRPr="00311642" w:rsidRDefault="00B71B67" w:rsidP="007A1F63">
            <w:pPr>
              <w:ind w:right="34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Assess neuromuscular function and muscular strength of the paws</w:t>
            </w:r>
          </w:p>
        </w:tc>
      </w:tr>
      <w:tr w:rsidR="00B71B67" w:rsidRPr="00311642" w14:paraId="2AA9A6D2" w14:textId="77777777" w:rsidTr="007A1F63">
        <w:trPr>
          <w:trHeight w:val="289"/>
        </w:trPr>
        <w:tc>
          <w:tcPr>
            <w:tcW w:w="1277" w:type="dxa"/>
            <w:vAlign w:val="center"/>
          </w:tcPr>
          <w:p w14:paraId="1FC0EAE1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10-week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46FF83FE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Dysmorphology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53778156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Assess the presence of any gross morphological abnormalities</w:t>
            </w:r>
          </w:p>
        </w:tc>
      </w:tr>
      <w:tr w:rsidR="00B71B67" w:rsidRPr="00311642" w14:paraId="5DB89192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49719351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10-week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252D59C7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Hot plate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57D9E87B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Assess thermal pain perception</w:t>
            </w:r>
          </w:p>
        </w:tc>
      </w:tr>
      <w:tr w:rsidR="00B71B67" w:rsidRPr="00311642" w14:paraId="26B3FD44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0CB5748B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12-week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2844BE8E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Indirect calorimetry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704F210E" w14:textId="77777777" w:rsidR="00B71B67" w:rsidRPr="00311642" w:rsidRDefault="00B71B67" w:rsidP="007A1F63">
            <w:pPr>
              <w:ind w:left="6872" w:hanging="6872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Investigate metabolism, circadian pattern and behavior</w:t>
            </w:r>
          </w:p>
        </w:tc>
      </w:tr>
      <w:tr w:rsidR="00B71B67" w:rsidRPr="00311642" w14:paraId="6A059A11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6207D1D3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13-week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6109675D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Glucose tolerance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40CF4136" w14:textId="77777777" w:rsidR="00B71B67" w:rsidRPr="00311642" w:rsidRDefault="00B71B67" w:rsidP="007A1F63">
            <w:pPr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Obtain fasted basal blood glucose concentrations &amp; investigate glucose tolerance and clearance</w:t>
            </w:r>
          </w:p>
        </w:tc>
      </w:tr>
      <w:tr w:rsidR="00B71B67" w:rsidRPr="00311642" w14:paraId="6FB11569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73F47C21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14-week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054AE4CB" w14:textId="77777777" w:rsidR="00B71B67" w:rsidRPr="00311642" w:rsidRDefault="00B71B67" w:rsidP="007A1F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Auditory brainstem response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2537FB51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Assess hearing sensitivity across a broad range of frequencies</w:t>
            </w:r>
          </w:p>
        </w:tc>
      </w:tr>
      <w:tr w:rsidR="00B71B67" w:rsidRPr="00311642" w14:paraId="2BF1806F" w14:textId="77777777" w:rsidTr="007A1F63">
        <w:trPr>
          <w:trHeight w:val="289"/>
        </w:trPr>
        <w:tc>
          <w:tcPr>
            <w:tcW w:w="1277" w:type="dxa"/>
            <w:vAlign w:val="center"/>
          </w:tcPr>
          <w:p w14:paraId="778F45D1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14-week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4E7659B0" w14:textId="77777777" w:rsidR="00B71B67" w:rsidRPr="00311642" w:rsidRDefault="00B71B67" w:rsidP="007A1F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Dual energy X-ray absorptiometry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2D5B8B08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Obtain body composition and bone mineral density data</w:t>
            </w:r>
          </w:p>
        </w:tc>
      </w:tr>
      <w:tr w:rsidR="00B71B67" w:rsidRPr="00311642" w14:paraId="0647F5A9" w14:textId="77777777" w:rsidTr="007A1F63">
        <w:trPr>
          <w:trHeight w:val="302"/>
        </w:trPr>
        <w:tc>
          <w:tcPr>
            <w:tcW w:w="1277" w:type="dxa"/>
            <w:vAlign w:val="center"/>
          </w:tcPr>
          <w:p w14:paraId="6AD8E396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14-week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1D9FD35A" w14:textId="77777777" w:rsidR="00B71B67" w:rsidRPr="00311642" w:rsidRDefault="00B71B67" w:rsidP="007A1F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X-ray imaging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177BDFDE" w14:textId="77777777" w:rsidR="00B71B67" w:rsidRPr="00311642" w:rsidRDefault="00B71B67" w:rsidP="007A1F63">
            <w:pPr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Obtain the high-resolution X-ray images of the skeleton</w:t>
            </w:r>
          </w:p>
        </w:tc>
      </w:tr>
      <w:tr w:rsidR="00B71B67" w:rsidRPr="00311642" w14:paraId="4744C9F6" w14:textId="77777777" w:rsidTr="007A1F63">
        <w:trPr>
          <w:trHeight w:val="316"/>
        </w:trPr>
        <w:tc>
          <w:tcPr>
            <w:tcW w:w="1277" w:type="dxa"/>
            <w:vAlign w:val="center"/>
          </w:tcPr>
          <w:p w14:paraId="11A7F5BE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15-week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738B26FA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Core temperature stress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3C63446C" w14:textId="77777777" w:rsidR="00B71B67" w:rsidRPr="00311642" w:rsidRDefault="00B71B67" w:rsidP="007A1F63">
            <w:pPr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 w:cs="Times-Roman"/>
                <w:sz w:val="16"/>
                <w:szCs w:val="22"/>
                <w:lang w:bidi="en-US"/>
              </w:rPr>
              <w:t>Obtain basal body temperature and assess stress-induced hyperthermia</w:t>
            </w:r>
          </w:p>
        </w:tc>
      </w:tr>
      <w:tr w:rsidR="00B71B67" w:rsidRPr="00311642" w14:paraId="5F7603AD" w14:textId="77777777" w:rsidTr="007A1F63">
        <w:trPr>
          <w:trHeight w:val="316"/>
        </w:trPr>
        <w:tc>
          <w:tcPr>
            <w:tcW w:w="1277" w:type="dxa"/>
            <w:vAlign w:val="center"/>
          </w:tcPr>
          <w:p w14:paraId="3504BD55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15-week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11E02CFD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 w:cs="AdvPTimes"/>
                <w:sz w:val="16"/>
                <w:szCs w:val="20"/>
                <w:lang w:bidi="en-US"/>
              </w:rPr>
              <w:t>Eye morphology screen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602AA7D8" w14:textId="77777777" w:rsidR="00B71B67" w:rsidRPr="00311642" w:rsidRDefault="00B71B67" w:rsidP="007A1F63">
            <w:pPr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 w:cs="AdvPTimes"/>
                <w:sz w:val="16"/>
                <w:szCs w:val="20"/>
                <w:lang w:bidi="en-US"/>
              </w:rPr>
              <w:t>Assess the presence of gross morphological abnormalities in the eye</w:t>
            </w:r>
          </w:p>
        </w:tc>
      </w:tr>
      <w:tr w:rsidR="00B71B67" w:rsidRPr="00311642" w14:paraId="26D31A9A" w14:textId="77777777" w:rsidTr="007A1F63">
        <w:trPr>
          <w:trHeight w:val="316"/>
        </w:trPr>
        <w:tc>
          <w:tcPr>
            <w:tcW w:w="1277" w:type="dxa"/>
            <w:vAlign w:val="center"/>
          </w:tcPr>
          <w:p w14:paraId="4D77E780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16-week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0BF909AC" w14:textId="77777777" w:rsidR="00B71B67" w:rsidRPr="00311642" w:rsidRDefault="00B71B67" w:rsidP="007A1F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/>
                <w:sz w:val="16"/>
              </w:rPr>
              <w:t>Heart weights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6BF4BBBC" w14:textId="77777777" w:rsidR="00B71B67" w:rsidRPr="00311642" w:rsidRDefault="00B71B67" w:rsidP="007A1F63">
            <w:pPr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/>
                <w:sz w:val="16"/>
              </w:rPr>
              <w:t>Assess the weight of the heart</w:t>
            </w:r>
          </w:p>
        </w:tc>
      </w:tr>
      <w:tr w:rsidR="00B71B67" w:rsidRPr="00311642" w14:paraId="268079F9" w14:textId="77777777" w:rsidTr="007A1F63">
        <w:trPr>
          <w:trHeight w:val="316"/>
        </w:trPr>
        <w:tc>
          <w:tcPr>
            <w:tcW w:w="1277" w:type="dxa"/>
            <w:vAlign w:val="center"/>
          </w:tcPr>
          <w:p w14:paraId="0BB050CD" w14:textId="77777777" w:rsidR="00B71B67" w:rsidRPr="00311642" w:rsidRDefault="00B71B67" w:rsidP="007A1F6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311642">
              <w:rPr>
                <w:rFonts w:ascii="Arial" w:hAnsi="Arial"/>
                <w:sz w:val="16"/>
              </w:rPr>
              <w:t>16-week old</w:t>
            </w:r>
          </w:p>
        </w:tc>
        <w:tc>
          <w:tcPr>
            <w:tcW w:w="2835" w:type="dxa"/>
            <w:tcMar>
              <w:top w:w="28" w:type="dxa"/>
              <w:bottom w:w="85" w:type="dxa"/>
            </w:tcMar>
            <w:vAlign w:val="center"/>
          </w:tcPr>
          <w:p w14:paraId="06188D8F" w14:textId="77777777" w:rsidR="00B71B67" w:rsidRPr="00311642" w:rsidRDefault="00B71B67" w:rsidP="007A1F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/>
                <w:sz w:val="16"/>
              </w:rPr>
              <w:t>Hematology  &amp; plasma chemistry</w:t>
            </w:r>
          </w:p>
        </w:tc>
        <w:tc>
          <w:tcPr>
            <w:tcW w:w="7087" w:type="dxa"/>
            <w:tcMar>
              <w:bottom w:w="85" w:type="dxa"/>
            </w:tcMar>
            <w:vAlign w:val="center"/>
          </w:tcPr>
          <w:p w14:paraId="76FB6C8E" w14:textId="77777777" w:rsidR="00B71B67" w:rsidRPr="00311642" w:rsidRDefault="00B71B67" w:rsidP="007A1F63">
            <w:pPr>
              <w:rPr>
                <w:rFonts w:ascii="Arial" w:hAnsi="Arial" w:cs="Times-Roman"/>
                <w:sz w:val="16"/>
                <w:szCs w:val="22"/>
                <w:lang w:bidi="en-US"/>
              </w:rPr>
            </w:pPr>
            <w:r w:rsidRPr="00311642">
              <w:rPr>
                <w:rFonts w:ascii="Arial" w:hAnsi="Arial"/>
                <w:sz w:val="16"/>
              </w:rPr>
              <w:t>Assess variable whole blood parameters and plasma clinical chemistry parameters</w:t>
            </w:r>
          </w:p>
        </w:tc>
      </w:tr>
    </w:tbl>
    <w:p w14:paraId="29D41EFF" w14:textId="77777777" w:rsidR="00B71B67" w:rsidRPr="00311642" w:rsidRDefault="00B71B67" w:rsidP="00B71B6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49B5F8CC" w14:textId="77777777" w:rsidR="00C949D1" w:rsidRDefault="00C949D1" w:rsidP="00B71B6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651693FB" w14:textId="77777777" w:rsidR="00C949D1" w:rsidRPr="00C949D1" w:rsidRDefault="00C949D1" w:rsidP="00C949D1">
      <w:pPr>
        <w:rPr>
          <w:rFonts w:ascii="Arial" w:hAnsi="Arial"/>
        </w:rPr>
      </w:pPr>
    </w:p>
    <w:p w14:paraId="2E37F746" w14:textId="77777777" w:rsidR="00C949D1" w:rsidRPr="00C949D1" w:rsidRDefault="00C949D1" w:rsidP="00C949D1">
      <w:pPr>
        <w:rPr>
          <w:rFonts w:ascii="Arial" w:hAnsi="Arial"/>
        </w:rPr>
      </w:pPr>
    </w:p>
    <w:p w14:paraId="34161245" w14:textId="77777777" w:rsidR="00C949D1" w:rsidRDefault="00C949D1" w:rsidP="00C949D1">
      <w:pPr>
        <w:rPr>
          <w:rFonts w:ascii="Arial" w:hAnsi="Arial"/>
        </w:rPr>
      </w:pPr>
    </w:p>
    <w:p w14:paraId="4DC7B2BD" w14:textId="77777777" w:rsidR="00B71B67" w:rsidRPr="00C949D1" w:rsidRDefault="00C949D1" w:rsidP="00C949D1">
      <w:pPr>
        <w:tabs>
          <w:tab w:val="left" w:pos="3307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B71B67" w:rsidRPr="00C949D1" w:rsidSect="00C949D1">
      <w:footerReference w:type="even" r:id="rId8"/>
      <w:footerReference w:type="default" r:id="rId9"/>
      <w:pgSz w:w="16840" w:h="1190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3AD46" w14:textId="77777777" w:rsidR="00000000" w:rsidRDefault="00FC7B4C">
      <w:r>
        <w:separator/>
      </w:r>
    </w:p>
  </w:endnote>
  <w:endnote w:type="continuationSeparator" w:id="0">
    <w:p w14:paraId="6B35D2BB" w14:textId="77777777" w:rsidR="00000000" w:rsidRDefault="00FC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PTimes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1C32" w14:textId="77777777" w:rsidR="005D31FC" w:rsidRDefault="00B71B67" w:rsidP="005D3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960DC" w14:textId="77777777" w:rsidR="005D31FC" w:rsidRDefault="00FC7B4C" w:rsidP="005D31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EFF0" w14:textId="77777777" w:rsidR="005D31FC" w:rsidRPr="00484091" w:rsidRDefault="00B71B67" w:rsidP="005D31FC">
    <w:pPr>
      <w:pStyle w:val="Footer"/>
      <w:framePr w:wrap="around" w:vAnchor="text" w:hAnchor="margin" w:xAlign="center" w:y="1"/>
      <w:jc w:val="center"/>
      <w:rPr>
        <w:rStyle w:val="PageNumber"/>
        <w:rFonts w:ascii="Arial" w:hAnsi="Arial"/>
      </w:rPr>
    </w:pPr>
    <w:r w:rsidRPr="00484091">
      <w:rPr>
        <w:rStyle w:val="PageNumber"/>
        <w:rFonts w:ascii="Arial" w:hAnsi="Arial"/>
      </w:rPr>
      <w:fldChar w:fldCharType="begin"/>
    </w:r>
    <w:r w:rsidRPr="00484091">
      <w:rPr>
        <w:rStyle w:val="PageNumber"/>
        <w:rFonts w:ascii="Arial" w:hAnsi="Arial"/>
      </w:rPr>
      <w:instrText xml:space="preserve">PAGE  </w:instrText>
    </w:r>
    <w:r w:rsidRPr="00484091">
      <w:rPr>
        <w:rStyle w:val="PageNumber"/>
        <w:rFonts w:ascii="Arial" w:hAnsi="Arial"/>
      </w:rPr>
      <w:fldChar w:fldCharType="separate"/>
    </w:r>
    <w:r w:rsidR="00FC7B4C">
      <w:rPr>
        <w:rStyle w:val="PageNumber"/>
        <w:rFonts w:ascii="Arial" w:hAnsi="Arial"/>
        <w:noProof/>
      </w:rPr>
      <w:t>1</w:t>
    </w:r>
    <w:r w:rsidRPr="00484091">
      <w:rPr>
        <w:rStyle w:val="PageNumber"/>
        <w:rFonts w:ascii="Arial" w:hAnsi="Arial"/>
      </w:rPr>
      <w:fldChar w:fldCharType="end"/>
    </w:r>
  </w:p>
  <w:p w14:paraId="30A1A886" w14:textId="77777777" w:rsidR="005D31FC" w:rsidRDefault="00FC7B4C" w:rsidP="005D3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D60E" w14:textId="77777777" w:rsidR="00000000" w:rsidRDefault="00FC7B4C">
      <w:r>
        <w:separator/>
      </w:r>
    </w:p>
  </w:footnote>
  <w:footnote w:type="continuationSeparator" w:id="0">
    <w:p w14:paraId="6AD2FC07" w14:textId="77777777" w:rsidR="00000000" w:rsidRDefault="00FC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67"/>
    <w:rsid w:val="009F6212"/>
    <w:rsid w:val="00B71B67"/>
    <w:rsid w:val="00C949D1"/>
    <w:rsid w:val="00CB4EDF"/>
    <w:rsid w:val="00FC7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C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7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7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B67"/>
    <w:rPr>
      <w:rFonts w:ascii="Cambria" w:eastAsia="Cambria" w:hAnsi="Cambria" w:cs="Times New Roman"/>
      <w:lang w:val="en-US"/>
    </w:rPr>
  </w:style>
  <w:style w:type="character" w:styleId="PageNumber">
    <w:name w:val="page number"/>
    <w:uiPriority w:val="99"/>
    <w:semiHidden/>
    <w:rsid w:val="00B71B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67"/>
    <w:rPr>
      <w:rFonts w:ascii="Lucida Grande" w:eastAsia="Cambr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67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7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B67"/>
    <w:rPr>
      <w:rFonts w:ascii="Cambria" w:eastAsia="Cambria" w:hAnsi="Cambria" w:cs="Times New Roman"/>
      <w:lang w:val="en-US"/>
    </w:rPr>
  </w:style>
  <w:style w:type="character" w:styleId="PageNumber">
    <w:name w:val="page number"/>
    <w:uiPriority w:val="99"/>
    <w:semiHidden/>
    <w:rsid w:val="00B71B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67"/>
    <w:rPr>
      <w:rFonts w:ascii="Lucida Grande" w:eastAsia="Cambr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A4850-628C-D943-82B7-7456B70A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3</Paragraphs>
  <ScaleCrop>false</ScaleCrop>
  <Company>Sanger Institute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David Adams</cp:lastModifiedBy>
  <cp:revision>3</cp:revision>
  <dcterms:created xsi:type="dcterms:W3CDTF">2011-12-08T16:40:00Z</dcterms:created>
  <dcterms:modified xsi:type="dcterms:W3CDTF">2011-12-08T16:42:00Z</dcterms:modified>
</cp:coreProperties>
</file>