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13DB" w:rsidRPr="00A16478" w:rsidRDefault="005113DB" w:rsidP="005113DB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A16478">
        <w:rPr>
          <w:rFonts w:ascii="Times New Roman" w:hAnsi="Times New Roman" w:cs="Times New Roman"/>
          <w:b/>
          <w:bCs/>
          <w:sz w:val="24"/>
          <w:szCs w:val="24"/>
        </w:rPr>
        <w:t xml:space="preserve">Appendix </w:t>
      </w:r>
      <w:r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A16478">
        <w:rPr>
          <w:rFonts w:ascii="Times New Roman" w:hAnsi="Times New Roman" w:cs="Times New Roman"/>
          <w:b/>
          <w:bCs/>
          <w:sz w:val="24"/>
          <w:szCs w:val="24"/>
        </w:rPr>
        <w:t>2.</w:t>
      </w:r>
      <w:proofErr w:type="gramEnd"/>
      <w:r w:rsidRPr="00A16478">
        <w:rPr>
          <w:rFonts w:ascii="Times New Roman" w:hAnsi="Times New Roman" w:cs="Times New Roman"/>
          <w:b/>
          <w:bCs/>
          <w:sz w:val="24"/>
          <w:szCs w:val="24"/>
        </w:rPr>
        <w:t xml:space="preserve"> Costs input into the model</w:t>
      </w:r>
    </w:p>
    <w:p w:rsidR="005113DB" w:rsidRPr="009E724E" w:rsidRDefault="005113DB" w:rsidP="005113DB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tbl>
      <w:tblPr>
        <w:tblW w:w="9957" w:type="dxa"/>
        <w:tblInd w:w="-176" w:type="dxa"/>
        <w:tblBorders>
          <w:top w:val="single" w:sz="12" w:space="0" w:color="008000"/>
          <w:bottom w:val="single" w:sz="12" w:space="0" w:color="008000"/>
        </w:tblBorders>
        <w:tblLook w:val="0020" w:firstRow="1" w:lastRow="0" w:firstColumn="0" w:lastColumn="0" w:noHBand="0" w:noVBand="0"/>
      </w:tblPr>
      <w:tblGrid>
        <w:gridCol w:w="284"/>
        <w:gridCol w:w="5812"/>
        <w:gridCol w:w="2585"/>
        <w:gridCol w:w="1276"/>
      </w:tblGrid>
      <w:tr w:rsidR="005113DB" w:rsidRPr="00465E7D" w:rsidTr="00F82EFD">
        <w:tc>
          <w:tcPr>
            <w:tcW w:w="6096" w:type="dxa"/>
            <w:gridSpan w:val="2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Cost data </w:t>
            </w:r>
          </w:p>
        </w:tc>
        <w:tc>
          <w:tcPr>
            <w:tcW w:w="258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Base-case values (ranges used in sensitivity analysis)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 unit costs ($) in Australian dollars</w:t>
            </w:r>
          </w:p>
        </w:tc>
        <w:tc>
          <w:tcPr>
            <w:tcW w:w="1276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References</w:t>
            </w:r>
          </w:p>
        </w:tc>
      </w:tr>
      <w:tr w:rsidR="005113DB" w:rsidRPr="00465E7D" w:rsidTr="00F82EFD">
        <w:tc>
          <w:tcPr>
            <w:tcW w:w="609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Dialysis</w:t>
            </w:r>
          </w:p>
        </w:tc>
        <w:tc>
          <w:tcPr>
            <w:tcW w:w="2585" w:type="dxa"/>
            <w:tcBorders>
              <w:top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val="1885"/>
        </w:trPr>
        <w:tc>
          <w:tcPr>
            <w:tcW w:w="6096" w:type="dxa"/>
            <w:gridSpan w:val="2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Annual HD – hospital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Initial access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Annual HD – home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Initial access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Annual HD – satellite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Initial access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Annual CAPD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Annual </w:t>
            </w:r>
            <w:smartTag w:uri="urn:schemas-microsoft-com:office:smarttags" w:element="stockticker">
              <w:r w:rsidRPr="00465E7D">
                <w:rPr>
                  <w:rFonts w:ascii="Times New Roman" w:hAnsi="Times New Roman" w:cs="Times New Roman"/>
                  <w:sz w:val="18"/>
                  <w:szCs w:val="18"/>
                </w:rPr>
                <w:t>APD</w:t>
              </w:r>
            </w:smartTag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Proportion of dialysis modality (Australia)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Hospital HD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Satellite HD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Home HD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CAPD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stockticker">
              <w:r w:rsidRPr="00465E7D">
                <w:rPr>
                  <w:rFonts w:ascii="Times New Roman" w:hAnsi="Times New Roman" w:cs="Times New Roman"/>
                  <w:sz w:val="18"/>
                  <w:szCs w:val="18"/>
                </w:rPr>
                <w:t>APD</w:t>
              </w:r>
            </w:smartTag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Proportion of dialysis mortality </w:t>
            </w: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(New Zealand)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Hospital HD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Satellite HD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Home HD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CAPD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smartTag w:uri="urn:schemas-microsoft-com:office:smarttags" w:element="stockticker">
              <w:r w:rsidRPr="00465E7D">
                <w:rPr>
                  <w:rFonts w:ascii="Times New Roman" w:hAnsi="Times New Roman" w:cs="Times New Roman"/>
                  <w:sz w:val="18"/>
                  <w:szCs w:val="18"/>
                </w:rPr>
                <w:t>APD</w:t>
              </w:r>
            </w:smartTag>
          </w:p>
        </w:tc>
        <w:tc>
          <w:tcPr>
            <w:tcW w:w="2585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$85,987 ($76,584 - $95,004)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$10,896 ($9,050 - $13,578)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$50,045 ($48,670 - $55,789)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$9,990 ($7,561 - $12,758)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$52,650 ($46,735 - $65,896)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$9,990 ($8,321 - $14,890)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$60,838 ($54,434 - $78,901)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$86,905 ($80,010 - $90,908)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23%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46%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9%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10%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12%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30%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19%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16%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24%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11%</w:t>
            </w:r>
          </w:p>
        </w:tc>
        <w:tc>
          <w:tcPr>
            <w:tcW w:w="1276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of Health and Aging (AIHW)&lt;/Author&gt;&lt;Year&gt;2006&lt;/Year&gt;&lt;RecNum&gt;804&lt;/RecNum&gt;&lt;IDText&gt;Australia&amp;apos;s health 2006&lt;/IDText&gt;&lt;MDL Ref_Type="Report"&gt;&lt;Ref_Type&gt;Report&lt;/Ref_Type&gt;&lt;Ref_ID&gt;804&lt;/Ref_ID&gt;&lt;Title_Primary&gt;Australia&amp;apos;s health 2006&lt;/Title_Primary&gt;&lt;Authors_Primary&gt;Australian Government of Health and Aging (AIHW)&lt;/Authors_Primary&gt;&lt;Date_Primary&gt;2006&lt;/Date_Primary&gt;&lt;Keywords&gt;Australia&lt;/Keywords&gt;&lt;Reprint&gt;Not in File&lt;/Reprint&gt;&lt;Web_URL&gt;&lt;u&gt;http://www.aihw.gov.au/publications/aus/ah06/&lt;/u&gt;&lt;/Web_URL&gt;&lt;ZZ_WorkformID&gt;24&lt;/ZZ_WorkformID&gt;&lt;/MDL&gt;&lt;/Cite&gt;&lt;Cite&gt;&lt;Author&gt;Australian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[1,2,8-12]</w: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val="4816"/>
        </w:trPr>
        <w:tc>
          <w:tcPr>
            <w:tcW w:w="6096" w:type="dxa"/>
            <w:gridSpan w:val="2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Transplantation ( Initial – year 1)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Costs of standard immunosuppression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Tac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CyA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Sirolimus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Everolimus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Proportion of </w:t>
            </w:r>
            <w:proofErr w:type="spellStart"/>
            <w:r w:rsidRPr="00465E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immunosupppressive</w:t>
            </w:r>
            <w:proofErr w:type="spellEnd"/>
            <w:r w:rsidRPr="00465E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therapy used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Tac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CyA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Sirolimus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 +MMF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Everolimus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Costs of induction therapies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Basiliximab</w:t>
            </w:r>
            <w:proofErr w:type="spellEnd"/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iCs/>
                <w:sz w:val="18"/>
                <w:szCs w:val="18"/>
              </w:rPr>
              <w:t>Anti-thymoglobulin antibodies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Costs of surgery – deceased donor + harvest 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Costs of outpatient visits – (total = 32 per year)</w:t>
            </w:r>
          </w:p>
        </w:tc>
        <w:tc>
          <w:tcPr>
            <w:tcW w:w="2585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$25,919 ($21,436 - $28,890)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$14,612 ($11,536 - $16,790)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$17,218 ($15,090 - $22,643)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$17,955 ($15,431 - $21,674)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$6,300 ($3,034 - $12,342)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$13,175 ($5,390 - $26,678)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$29,879 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$2,137 ($1,890 - $26,780)</w:t>
            </w:r>
          </w:p>
        </w:tc>
        <w:tc>
          <w:tcPr>
            <w:tcW w:w="1276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of Health and Aging (AIHW)&lt;/Author&gt;&lt;Year&gt;2006&lt;/Year&gt;&lt;RecNum&gt;804&lt;/RecNum&gt;&lt;IDText&gt;Australia&amp;apos;s health 2006&lt;/IDText&gt;&lt;MDL Ref_Type="Report"&gt;&lt;Ref_Type&gt;Report&lt;/Ref_Type&gt;&lt;Ref_ID&gt;804&lt;/Ref_ID&gt;&lt;Title_Primary&gt;Australia&amp;apos;s health 2006&lt;/Title_Primary&gt;&lt;Authors_Primary&gt;Australian Government of Health and Aging (AIHW)&lt;/Authors_Primary&gt;&lt;Date_Primary&gt;2006&lt;/Date_Primary&gt;&lt;Keywords&gt;Australia&lt;/Keywords&gt;&lt;Reprint&gt;Not in File&lt;/Reprint&gt;&lt;Web_URL&gt;&lt;u&gt;http://www.aihw.gov.au/publications/aus/ah06/&lt;/u&gt;&lt;/Web_URL&gt;&lt;ZZ_WorkformID&gt;24&lt;/ZZ_WorkformID&gt;&lt;/MDL&gt;&lt;/Cite&gt;&lt;Cite&gt;&lt;Author&gt;Australian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[1,2,8-12]</w: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costs of uncomplicated transplant</w:t>
            </w:r>
          </w:p>
        </w:tc>
        <w:tc>
          <w:tcPr>
            <w:tcW w:w="2585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$49,290</w:t>
            </w:r>
          </w:p>
        </w:tc>
        <w:tc>
          <w:tcPr>
            <w:tcW w:w="1276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of Health and Aging (AIHW)&lt;/Author&gt;&lt;Year&gt;2006&lt;/Year&gt;&lt;RecNum&gt;804&lt;/RecNum&gt;&lt;IDText&gt;Australia&amp;apos;s health 2006&lt;/IDText&gt;&lt;MDL Ref_Type="Report"&gt;&lt;Ref_Type&gt;Report&lt;/Ref_Type&gt;&lt;Ref_ID&gt;804&lt;/Ref_ID&gt;&lt;Title_Primary&gt;Australia&amp;apos;s health 2006&lt;/Title_Primary&gt;&lt;Authors_Primary&gt;Australian Government of Health and Aging (AIHW)&lt;/Authors_Primary&gt;&lt;Date_Primary&gt;2006&lt;/Date_Primary&gt;&lt;Keywords&gt;Australia&lt;/Keywords&gt;&lt;Reprint&gt;Not in File&lt;/Reprint&gt;&lt;Web_URL&gt;&lt;u&gt;http://www.aihw.gov.au/publications/aus/ah06/&lt;/u&gt;&lt;/Web_URL&gt;&lt;ZZ_WorkformID&gt;24&lt;/ZZ_WorkformID&gt;&lt;/MDL&gt;&lt;/Cite&gt;&lt;Cite&gt;&lt;Author&gt;Australian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[1,2,8-12]</w: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Costs of complicated transplant</w:t>
            </w:r>
          </w:p>
        </w:tc>
        <w:tc>
          <w:tcPr>
            <w:tcW w:w="2585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Above plus:</w:t>
            </w:r>
          </w:p>
        </w:tc>
        <w:tc>
          <w:tcPr>
            <w:tcW w:w="2585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Anti-thymoglobulin antibodies </w:t>
            </w:r>
          </w:p>
        </w:tc>
        <w:tc>
          <w:tcPr>
            <w:tcW w:w="2585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$13,175</w:t>
            </w:r>
          </w:p>
        </w:tc>
        <w:tc>
          <w:tcPr>
            <w:tcW w:w="1276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Intermittent dialysis </w:t>
            </w:r>
          </w:p>
        </w:tc>
        <w:tc>
          <w:tcPr>
            <w:tcW w:w="2585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$6,500</w:t>
            </w:r>
          </w:p>
        </w:tc>
        <w:tc>
          <w:tcPr>
            <w:tcW w:w="1276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tcBorders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Biopsies</w:t>
            </w:r>
          </w:p>
        </w:tc>
        <w:tc>
          <w:tcPr>
            <w:tcW w:w="2585" w:type="dxa"/>
            <w:tcBorders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$500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costs of complicated transplant</w:t>
            </w:r>
          </w:p>
        </w:tc>
        <w:tc>
          <w:tcPr>
            <w:tcW w:w="2585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$69,447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of Health and Aging (AIHW)&lt;/Author&gt;&lt;Year&gt;2006&lt;/Year&gt;&lt;RecNum&gt;804&lt;/RecNum&gt;&lt;IDText&gt;Australia&amp;apos;s health 2006&lt;/IDText&gt;&lt;MDL Ref_Type="Report"&gt;&lt;Ref_Type&gt;Report&lt;/Ref_Type&gt;&lt;Ref_ID&gt;804&lt;/Ref_ID&gt;&lt;Title_Primary&gt;Australia&amp;apos;s health 2006&lt;/Title_Primary&gt;&lt;Authors_Primary&gt;Australian Government of Health and Aging (AIHW)&lt;/Authors_Primary&gt;&lt;Date_Primary&gt;2006&lt;/Date_Primary&gt;&lt;Keywords&gt;Australia&lt;/Keywords&gt;&lt;Reprint&gt;Not in File&lt;/Reprint&gt;&lt;Web_URL&gt;&lt;u&gt;http://www.aihw.gov.au/publications/aus/ah06/&lt;/u&gt;&lt;/Web_URL&gt;&lt;ZZ_WorkformID&gt;24&lt;/ZZ_WorkformID&gt;&lt;/MDL&gt;&lt;/Cite&gt;&lt;Cite&gt;&lt;Author&gt;Australian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[1,2,8-12]</w: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hRule="exact" w:val="2986"/>
        </w:trPr>
        <w:tc>
          <w:tcPr>
            <w:tcW w:w="6096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Transplantation (Subsequent years)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Costs of standard immunosuppression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Tac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CyA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Sirolimus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Everolimus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Proportion of </w:t>
            </w: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immunosupppressive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therapy used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Tac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CyA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Sirolimus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Everolimus</w:t>
            </w:r>
            <w:proofErr w:type="spellEnd"/>
            <w:r w:rsidRPr="00465E7D">
              <w:rPr>
                <w:rFonts w:ascii="Times New Roman" w:hAnsi="Times New Roman" w:cs="Times New Roman"/>
                <w:sz w:val="18"/>
                <w:szCs w:val="18"/>
              </w:rPr>
              <w:t xml:space="preserve"> + Prednisone + MMF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Costs of outpatient visits (x4 per year)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$25,919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$14,612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$17,218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$17,955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0.25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0.50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0.13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0.12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$268</w:t>
            </w:r>
          </w:p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instrText xml:space="preserve"> ADDIN REFMGR.CITE &lt;Refman&gt;&lt;Cite&gt;&lt;Year&gt;2005&lt;/Year&gt;&lt;RecNum&gt;796&lt;/RecNum&gt;&lt;IDText&gt;Australia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File&lt;/Reprint&gt;&lt;ZZ_WorkformID&gt;24&lt;/ZZ_WorkformID&gt;&lt;/MDL&gt;&lt;/Cite&gt;&lt;Cite&gt;&lt;Year&gt;2007&lt;/Year&gt;&lt;RecNum&gt;817&lt;/RecNum&gt;&lt;IDText&gt;Australian and New Zealand Dialysis and Transplant Registry. The 30th Annual Report.&lt;/IDText&gt;&lt;MDL Ref_Type="Report"&gt;&lt;Ref_Type&gt;Report&lt;/Ref_Type&gt;&lt;Ref_ID&gt;817&lt;/Ref_ID&gt;&lt;Title_Primary&gt;Australian and New Zealand Dialysis and Transplant Registry. The 30th Annual Report.&lt;/Title_Primary&gt;&lt;Date_Primary&gt;2007/2/1&lt;/Date_Primary&gt;&lt;Keywords&gt;New Zealand&lt;/Keywords&gt;&lt;Keywords&gt;Registries&lt;/Keywords&gt;&lt;Reprint&gt;Not in File&lt;/Reprint&gt;&lt;ZZ_WorkformID&gt;24&lt;/ZZ_WorkformID&gt;&lt;/MDL&gt;&lt;/Cite&gt;&lt;Cite&gt;&lt;Author&gt;Australian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of Health and Aging (AIHW)&lt;/Author&gt;&lt;Year&gt;2006&lt;/Year&gt;&lt;RecNum&gt;804&lt;/RecNum&gt;&lt;IDText&gt;Australia&amp;apos;s health 2006&lt;/IDText&gt;&lt;MDL Ref_Type="Report"&gt;&lt;Ref_Type&gt;Report&lt;/Ref_Type&gt;&lt;Ref_ID&gt;804&lt;/Ref_ID&gt;&lt;Title_Primary&gt;Australia&amp;apos;s health 2006&lt;/Title_Primary&gt;&lt;Authors_Primary&gt;Australian Government of Health and Aging (AIHW)&lt;/Authors_Primary&gt;&lt;Date_Primary&gt;2006&lt;/Date_Primary&gt;&lt;Keywords&gt;Australia&lt;/Keywords&gt;&lt;Reprint&gt;Not in File&lt;/Reprint&gt;&lt;Web_URL&gt;&lt;u&gt;http://www.aihw.gov.au/publications/aus/ah06/&lt;/u&gt;&lt;/Web_URL&gt;&lt;ZZ_WorkformID&gt;24&lt;/ZZ_WorkformID&gt;&lt;/MDL&gt;&lt;/Cite&gt;&lt;Cite&gt;&lt;Author&gt;Australian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[1,2,8-12]</w: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hRule="exact" w:val="274"/>
        </w:trPr>
        <w:tc>
          <w:tcPr>
            <w:tcW w:w="6096" w:type="dxa"/>
            <w:gridSpan w:val="2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costs of subsequent transplants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$18,446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Graft loss and return to dialysis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$17,663 (8,831 - $35,326)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ADDIN REFMGR.CITE &lt;Refman&gt;&lt;Cite&gt;&lt;Author&gt;Australian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[8,9,11,12]</w:t>
            </w:r>
            <w:r w:rsidRPr="00465E7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Steroid responsive acute rejection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$6,030 (3,489 – 12,114)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ADDIN REFMGR.CITE &lt;Refman&gt;&lt;Cite&gt;&lt;Author&gt;Australian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[8,9,11,12]</w:t>
            </w:r>
            <w:r w:rsidRPr="00465E7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hRule="exact" w:val="404"/>
        </w:trPr>
        <w:tc>
          <w:tcPr>
            <w:tcW w:w="6096" w:type="dxa"/>
            <w:gridSpan w:val="2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Steroid-resistant acute rejection</w:t>
            </w:r>
          </w:p>
        </w:tc>
        <w:tc>
          <w:tcPr>
            <w:tcW w:w="2585" w:type="dxa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$43,330 ($12,904 - $43,244)</w:t>
            </w:r>
          </w:p>
        </w:tc>
        <w:tc>
          <w:tcPr>
            <w:tcW w:w="1276" w:type="dxa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instrText xml:space="preserve"> ADDIN REFMGR.CITE &lt;Refman&gt;&lt;Cite&gt;&lt;Author&gt;Australian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 New Roman" w:hAnsi="Times New Roman" w:cs="Times New Roman"/>
                <w:bCs/>
                <w:sz w:val="18"/>
                <w:szCs w:val="18"/>
              </w:rPr>
              <w:t>[8,9,11,12]</w:t>
            </w:r>
            <w:r w:rsidRPr="00465E7D">
              <w:rPr>
                <w:rFonts w:ascii="Times New Roman" w:hAnsi="Times New Roman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Costs of dying from non-</w:t>
            </w:r>
            <w:smartTag w:uri="urn:schemas-microsoft-com:office:smarttags" w:element="stockticker">
              <w:r w:rsidRPr="00465E7D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CVD</w:t>
              </w:r>
            </w:smartTag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causes</w:t>
            </w:r>
          </w:p>
        </w:tc>
        <w:tc>
          <w:tcPr>
            <w:tcW w:w="2585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$18,482 ($17,654 - $38,907)</w:t>
            </w:r>
          </w:p>
        </w:tc>
        <w:tc>
          <w:tcPr>
            <w:tcW w:w="1276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instrText xml:space="preserve"> ADDIN REFMGR.CITE &lt;Refman&gt;&lt;Cite&gt;&lt;Author&gt;Hogan&lt;/Author&gt;&lt;Year&gt;2001&lt;/Year&gt;&lt;RecNum&gt;167&lt;/RecNum&gt;&lt;IDText&gt;Medicare beneficiaries&amp;apos; costs of care in the last year of life&lt;/IDText&gt;&lt;MDL Ref_Type="Journal"&gt;&lt;Ref_Type&gt;Journal&lt;/Ref_Type&gt;&lt;Ref_ID&gt;167&lt;/Ref_ID&gt;&lt;Title_Primary&gt;Medicare beneficiaries&amp;apos; costs of care in the last year of life&lt;/Title_Primary&gt;&lt;Authors_Primary&gt;Hogan,C.&lt;/Authors_Primary&gt;&lt;Authors_Primary&gt;Lunney,J.&lt;/Authors_Primary&gt;&lt;Authors_Primary&gt;Gabel,J.&lt;/Authors_Primary&gt;&lt;Authors_Primary&gt;Lynn,J.&lt;/Authors_Primary&gt;&lt;Date_Primary&gt;2001/7&lt;/Date_Primary&gt;&lt;Keywords&gt;*Cost of Illness&lt;/Keywords&gt;&lt;Keywords&gt;*Medicare&lt;/Keywords&gt;&lt;Keywords&gt;ut [Utilization]&lt;/Keywords&gt;&lt;Keywords&gt;*Terminal Care&lt;/Keywords&gt;&lt;Keywords&gt;ec [Economics]&lt;/Keywords&gt;&lt;Keywords&gt;African Americans&lt;/Keywords&gt;&lt;Keywords&gt;Aged&lt;/Keywords&gt;&lt;Keywords&gt;Continental Population Groups&lt;/Keywords&gt;&lt;Keywords&gt;Disease&lt;/Keywords&gt;&lt;Keywords&gt;cl [Classification]&lt;/Keywords&gt;&lt;Keywords&gt;Female&lt;/Keywords&gt;&lt;Keywords&gt;Health Policy&lt;/Keywords&gt;&lt;Keywords&gt;Hospices&lt;/Keywords&gt;&lt;Keywords&gt;ut [Utilization]&lt;/Keywords&gt;&lt;Keywords&gt;Humans&lt;/Keywords&gt;&lt;Keywords&gt;Male&lt;/Keywords&gt;&lt;Keywords&gt;Medicare&lt;/Keywords&gt;&lt;Keywords&gt;Medicare&lt;/Keywords&gt;&lt;Keywords&gt;ec [Economics]&lt;/Keywords&gt;&lt;Keywords&gt;Poverty&lt;/Keywords&gt;&lt;Keywords&gt;Prevalence&lt;/Keywords&gt;&lt;Keywords&gt;Research&lt;/Keywords&gt;&lt;Keywords&gt;SB - IM&lt;/Keywords&gt;&lt;Keywords&gt;United States&lt;/Keywords&gt;&lt;Keywords&gt;United States&lt;/Keywords&gt;&lt;Keywords&gt;ep [Epidemiology]&lt;/Keywords&gt;&lt;Reprint&gt;Not in File&lt;/Reprint&gt;&lt;Start_Page&gt;188&lt;/Start_Page&gt;&lt;End_Page&gt;195&lt;/End_Page&gt;&lt;Periodical&gt;Health Affairs&lt;/Periodical&gt;&lt;Volume&gt;20&lt;/Volume&gt;&lt;Issue&gt;4&lt;/Issue&gt;&lt;ISSN_ISBN&gt;0278-2715&lt;/ISSN_ISBN&gt;&lt;ZZ_JournalFull&gt;&lt;f name="System"&gt;Health Affairs&lt;/f&gt;&lt;/ZZ_JournalFull&gt;&lt;ZZ_WorkformID&gt;1&lt;/ZZ_WorkformID&gt;&lt;/MDL&gt;&lt;/Cite&gt;&lt;Cite&gt;&lt;Year&gt;2005&lt;/Year&gt;&lt;RecNum&gt;796&lt;/RecNum&gt;&lt;IDText&gt;Australia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[1,8,9,11-13]</w: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hRule="exact" w:val="284"/>
        </w:trPr>
        <w:tc>
          <w:tcPr>
            <w:tcW w:w="6096" w:type="dxa"/>
            <w:gridSpan w:val="2"/>
            <w:tcBorders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Cost of dying from </w:t>
            </w:r>
            <w:smartTag w:uri="urn:schemas-microsoft-com:office:smarttags" w:element="stockticker">
              <w:r w:rsidRPr="00465E7D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CVD</w:t>
              </w:r>
            </w:smartTag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 causes</w:t>
            </w:r>
          </w:p>
        </w:tc>
        <w:tc>
          <w:tcPr>
            <w:tcW w:w="2585" w:type="dxa"/>
            <w:tcBorders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$28,228 ($23,890 - $35,435)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instrText xml:space="preserve"> ADDIN REFMGR.CITE &lt;Refman&gt;&lt;Cite&gt;&lt;Author&gt;Hogan&lt;/Author&gt;&lt;Year&gt;2001&lt;/Year&gt;&lt;RecNum&gt;167&lt;/RecNum&gt;&lt;IDText&gt;Medicare beneficiaries&amp;apos; costs of care in the last year of life&lt;/IDText&gt;&lt;MDL Ref_Type="Journal"&gt;&lt;Ref_Type&gt;Journal&lt;/Ref_Type&gt;&lt;Ref_ID&gt;167&lt;/Ref_ID&gt;&lt;Title_Primary&gt;Medicare beneficiaries&amp;apos; costs of care in the last year of life&lt;/Title_Primary&gt;&lt;Authors_Primary&gt;Hogan,C.&lt;/Authors_Primary&gt;&lt;Authors_Primary&gt;Lunney,J.&lt;/Authors_Primary&gt;&lt;Authors_Primary&gt;Gabel,J.&lt;/Authors_Primary&gt;&lt;Authors_Primary&gt;Lynn,J.&lt;/Authors_Primary&gt;&lt;Date_Primary&gt;2001/7&lt;/Date_Primary&gt;&lt;Keywords&gt;*Cost of Illness&lt;/Keywords&gt;&lt;Keywords&gt;*Medicare&lt;/Keywords&gt;&lt;Keywords&gt;ut [Utilization]&lt;/Keywords&gt;&lt;Keywords&gt;*Terminal Care&lt;/Keywords&gt;&lt;Keywords&gt;ec [Economics]&lt;/Keywords&gt;&lt;Keywords&gt;African Americans&lt;/Keywords&gt;&lt;Keywords&gt;Aged&lt;/Keywords&gt;&lt;Keywords&gt;Continental Population Groups&lt;/Keywords&gt;&lt;Keywords&gt;Disease&lt;/Keywords&gt;&lt;Keywords&gt;cl [Classification]&lt;/Keywords&gt;&lt;Keywords&gt;Female&lt;/Keywords&gt;&lt;Keywords&gt;Health Policy&lt;/Keywords&gt;&lt;Keywords&gt;Hospices&lt;/Keywords&gt;&lt;Keywords&gt;ut [Utilization]&lt;/Keywords&gt;&lt;Keywords&gt;Humans&lt;/Keywords&gt;&lt;Keywords&gt;Male&lt;/Keywords&gt;&lt;Keywords&gt;Medicare&lt;/Keywords&gt;&lt;Keywords&gt;Medicare&lt;/Keywords&gt;&lt;Keywords&gt;ec [Economics]&lt;/Keywords&gt;&lt;Keywords&gt;Poverty&lt;/Keywords&gt;&lt;Keywords&gt;Prevalence&lt;/Keywords&gt;&lt;Keywords&gt;Research&lt;/Keywords&gt;&lt;Keywords&gt;SB - IM&lt;/Keywords&gt;&lt;Keywords&gt;United States&lt;/Keywords&gt;&lt;Keywords&gt;United States&lt;/Keywords&gt;&lt;Keywords&gt;ep [Epidemiology]&lt;/Keywords&gt;&lt;Reprint&gt;Not in File&lt;/Reprint&gt;&lt;Start_Page&gt;188&lt;/Start_Page&gt;&lt;End_Page&gt;195&lt;/End_Page&gt;&lt;Periodical&gt;Health Affairs&lt;/Periodical&gt;&lt;Volume&gt;20&lt;/Volume&gt;&lt;Issue&gt;4&lt;/Issue&gt;&lt;ISSN_ISBN&gt;0278-2715&lt;/ISSN_ISBN&gt;&lt;ZZ_JournalFull&gt;&lt;f name="System"&gt;Health Affairs&lt;/f&gt;&lt;/ZZ_JournalFull&gt;&lt;ZZ_WorkformID&gt;1&lt;/ZZ_WorkformID&gt;&lt;/MDL&gt;&lt;/Cite&gt;&lt;Cite&gt;&lt;Year&gt;2005&lt;/Year&gt;&lt;RecNum&gt;796&lt;/RecNum&gt;&lt;IDText&gt;Australia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[1,8,9,11-13]</w: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hRule="exact" w:val="393"/>
        </w:trPr>
        <w:tc>
          <w:tcPr>
            <w:tcW w:w="6096" w:type="dxa"/>
            <w:gridSpan w:val="2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Costs of non-fatal </w:t>
            </w:r>
            <w:smartTag w:uri="urn:schemas-microsoft-com:office:smarttags" w:element="stockticker">
              <w:r w:rsidRPr="00465E7D">
                <w:rPr>
                  <w:rFonts w:ascii="Times New Roman" w:hAnsi="Times New Roman" w:cs="Times New Roman"/>
                  <w:b/>
                  <w:bCs/>
                  <w:sz w:val="18"/>
                  <w:szCs w:val="18"/>
                </w:rPr>
                <w:t>CVD</w:t>
              </w:r>
            </w:smartTag>
          </w:p>
        </w:tc>
        <w:tc>
          <w:tcPr>
            <w:tcW w:w="258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465E7D">
              <w:rPr>
                <w:rFonts w:ascii="Times New Roman" w:hAnsi="Times New Roman" w:cs="Times New Roman"/>
                <w:sz w:val="18"/>
                <w:szCs w:val="18"/>
              </w:rPr>
              <w:t>$10,626 ($9,675 - $13,786)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begin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instrText xml:space="preserve"> ADDIN REFMGR.CITE &lt;Refman&gt;&lt;Cite&gt;&lt;Author&gt;Hogan&lt;/Author&gt;&lt;Year&gt;2001&lt;/Year&gt;&lt;RecNum&gt;167&lt;/RecNum&gt;&lt;IDText&gt;Medicare beneficiaries&amp;apos; costs of care in the last year of life&lt;/IDText&gt;&lt;MDL Ref_Type="Journal"&gt;&lt;Ref_Type&gt;Journal&lt;/Ref_Type&gt;&lt;Ref_ID&gt;167&lt;/Ref_ID&gt;&lt;Title_Primary&gt;Medicare beneficiaries&amp;apos; costs of care in the last year of life&lt;/Title_Primary&gt;&lt;Authors_Primary&gt;Hogan,C.&lt;/Authors_Primary&gt;&lt;Authors_Primary&gt;Lunney,J.&lt;/Authors_Primary&gt;&lt;Authors_Primary&gt;Gabel,J.&lt;/Authors_Primary&gt;&lt;Authors_Primary&gt;Lynn,J.&lt;/Authors_Primary&gt;&lt;Date_Primary&gt;2001/7&lt;/Date_Primary&gt;&lt;Keywords&gt;*Cost of Illness&lt;/Keywords&gt;&lt;Keywords&gt;*Medicare&lt;/Keywords&gt;&lt;Keywords&gt;ut [Utilization]&lt;/Keywords&gt;&lt;Keywords&gt;*Terminal Care&lt;/Keywords&gt;&lt;Keywords&gt;ec [Economics]&lt;/Keywords&gt;&lt;Keywords&gt;African Americans&lt;/Keywords&gt;&lt;Keywords&gt;Aged&lt;/Keywords&gt;&lt;Keywords&gt;Continental Population Groups&lt;/Keywords&gt;&lt;Keywords&gt;Disease&lt;/Keywords&gt;&lt;Keywords&gt;cl [Classification]&lt;/Keywords&gt;&lt;Keywords&gt;Female&lt;/Keywords&gt;&lt;Keywords&gt;Health Policy&lt;/Keywords&gt;&lt;Keywords&gt;Hospices&lt;/Keywords&gt;&lt;Keywords&gt;ut [Utilization]&lt;/Keywords&gt;&lt;Keywords&gt;Humans&lt;/Keywords&gt;&lt;Keywords&gt;Male&lt;/Keywords&gt;&lt;Keywords&gt;Medicare&lt;/Keywords&gt;&lt;Keywords&gt;Medicare&lt;/Keywords&gt;&lt;Keywords&gt;ec [Economics]&lt;/Keywords&gt;&lt;Keywords&gt;Poverty&lt;/Keywords&gt;&lt;Keywords&gt;Prevalence&lt;/Keywords&gt;&lt;Keywords&gt;Research&lt;/Keywords&gt;&lt;Keywords&gt;SB - IM&lt;/Keywords&gt;&lt;Keywords&gt;United States&lt;/Keywords&gt;&lt;Keywords&gt;United States&lt;/Keywords&gt;&lt;Keywords&gt;ep [Epidemiology]&lt;/Keywords&gt;&lt;Reprint&gt;Not in File&lt;/Reprint&gt;&lt;Start_Page&gt;188&lt;/Start_Page&gt;&lt;End_Page&gt;195&lt;/End_Page&gt;&lt;Periodical&gt;Health Affairs&lt;/Periodical&gt;&lt;Volume&gt;20&lt;/Volume&gt;&lt;Issue&gt;4&lt;/Issue&gt;&lt;ISSN_ISBN&gt;0278-2715&lt;/ISSN_ISBN&gt;&lt;ZZ_JournalFull&gt;&lt;f name="System"&gt;Health Affairs&lt;/f&gt;&lt;/ZZ_JournalFull&gt;&lt;ZZ_WorkformID&gt;1&lt;/ZZ_WorkformID&gt;&lt;/MDL&gt;&lt;/Cite&gt;&lt;Cite&gt;&lt;Year&gt;2005&lt;/Year&gt;&lt;RecNum&gt;796&lt;/RecNum&gt;&lt;IDText&gt;Australia and New Zealand Dialysis and Transplant Registry (ANZDATA), Special data request (2009)&lt;/IDText&gt;&lt;MDL Ref_Type="Report"&gt;&lt;Ref_Type&gt;Report&lt;/Ref_Type&gt;&lt;Ref_ID&gt;796&lt;/Ref_ID&gt;&lt;Title_Primary&gt;Australia and New Zealand Dialysis and Transplant Registry (ANZDATA), Special data request (2009)&lt;/Title_Primary&gt;&lt;Date_Primary&gt;2005&lt;/Date_Primary&gt;&lt;Keywords&gt;Australia&lt;/Keywords&gt;&lt;Keywords&gt;New Zealand&lt;/Keywords&gt;&lt;Keywords&gt;Registries&lt;/Keywords&gt;&lt;Reprint&gt;Not in File&lt;/Reprint&gt;&lt;ZZ_WorkformID&gt;24&lt;/ZZ_WorkformID&gt;&lt;/MDL&gt;&lt;/Cite&gt;&lt;Cite&gt;&lt;Author&gt;Australian Government Department of Health and Ageing&lt;/Author&gt;&lt;Year&gt;10 A.D.&lt;/Year&gt;&lt;RecNum&gt;835&lt;/RecNum&gt;&lt;IDText&gt;Scedule of Pharmaceutical Benefits&lt;/IDText&gt;&lt;MDL Ref_Type="Book, Whole"&gt;&lt;Ref_Type&gt;Book, Whole&lt;/Ref_Type&gt;&lt;Ref_ID&gt;835&lt;/Ref_ID&gt;&lt;Title_Primary&gt;Scedule of Pharmaceutical Benefits&lt;/Title_Primary&gt;&lt;Authors_Primary&gt;Australian Government Department of Health and Ageing&lt;/Authors_Primary&gt;&lt;Date_Primary&gt;10 AD/2/28&lt;/Date_Primary&gt;&lt;Reprint&gt;Not in File&lt;/Reprint&gt;&lt;Web_URL&gt;&lt;u&gt;www.pbs.gov.au&lt;/u&gt;&lt;/Web_URL&gt;&lt;ZZ_WorkformID&gt;2&lt;/ZZ_WorkformID&gt;&lt;/MDL&gt;&lt;/Cite&gt;&lt;Cite&gt;&lt;Author&gt;Australian Government Department of Health and Ageing&lt;/Author&gt;&lt;Year&gt;2006&lt;/Year&gt;&lt;RecNum&gt;798&lt;/RecNum&gt;&lt;IDText&gt;Medicare Benefits Schedule Book&lt;/IDText&gt;&lt;MDL Ref_Type="Report"&gt;&lt;Ref_Type&gt;Report&lt;/Ref_Type&gt;&lt;Ref_ID&gt;798&lt;/Ref_ID&gt;&lt;Title_Primary&gt;Medicare Benefits Schedule Book&lt;/Title_Primary&gt;&lt;Authors_Primary&gt;Australian Government Department of Health and Ageing&lt;/Authors_Primary&gt;&lt;Date_Primary&gt;2006/11/6&lt;/Date_Primary&gt;&lt;Keywords&gt;Medicare&lt;/Keywords&gt;&lt;Reprint&gt;Not in File&lt;/Reprint&gt;&lt;ZZ_WorkformID&gt;24&lt;/ZZ_WorkformID&gt;&lt;/MDL&gt;&lt;/Cite&gt;&lt;Cite&gt;&lt;Author&gt;Australian Government Australia Institute of Health and Welfare&lt;/Author&gt;&lt;Year&gt;2007&lt;/Year&gt;&lt;RecNum&gt;816&lt;/RecNum&gt;&lt;IDText&gt;AR-DRG data cubes from 2006-2007&lt;/IDText&gt;&lt;MDL Ref_Type="Report"&gt;&lt;Ref_Type&gt;Report&lt;/Ref_Type&gt;&lt;Ref_ID&gt;816&lt;/Ref_ID&gt;&lt;Title_Primary&gt;AR-DRG data cubes from 2006-2007&lt;/Title_Primary&gt;&lt;Authors_Primary&gt;Australian Government Australia Institute of Health and Welfare&lt;/Authors_Primary&gt;&lt;Date_Primary&gt;2007&lt;/Date_Primary&gt;&lt;Reprint&gt;Not in File&lt;/Reprint&gt;&lt;ZZ_WorkformID&gt;24&lt;/ZZ_WorkformID&gt;&lt;/MDL&gt;&lt;/Cite&gt;&lt;Cite&gt;&lt;Author&gt;Australian Institute of Health and Welfare&lt;/Author&gt;&lt;Year&gt;2004&lt;/Year&gt;&lt;RecNum&gt;797&lt;/RecNum&gt;&lt;IDText&gt;Australian Hospital Statistics ( 2003 - 2004)&lt;/IDText&gt;&lt;MDL Ref_Type="Report"&gt;&lt;Ref_Type&gt;Report&lt;/Ref_Type&gt;&lt;Ref_ID&gt;797&lt;/Ref_ID&gt;&lt;Title_Primary&gt;Australian Hospital Statistics ( 2003 - 2004)&lt;/Title_Primary&gt;&lt;Authors_Primary&gt;Australian Institute of Health and Welfare&lt;/Authors_Primary&gt;&lt;Date_Primary&gt;2004&lt;/Date_Primary&gt;&lt;Keywords&gt;Statistics&lt;/Keywords&gt;&lt;Reprint&gt;Not in File&lt;/Reprint&gt;&lt;ZZ_WorkformID&gt;24&lt;/ZZ_WorkformID&gt;&lt;/MDL&gt;&lt;/Cite&gt;&lt;/Refman&gt;</w:instrTex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separate"/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[1,8,9,11-13]</w:t>
            </w:r>
            <w:r w:rsidRPr="00465E7D">
              <w:rPr>
                <w:rFonts w:ascii="Times" w:hAnsi="Times" w:cs="Times New Roman"/>
                <w:bCs/>
                <w:sz w:val="18"/>
                <w:szCs w:val="18"/>
              </w:rPr>
              <w:fldChar w:fldCharType="end"/>
            </w:r>
          </w:p>
        </w:tc>
      </w:tr>
      <w:tr w:rsidR="005113DB" w:rsidRPr="00465E7D" w:rsidTr="00F82EFD">
        <w:trPr>
          <w:trHeight w:hRule="exact" w:val="275"/>
        </w:trPr>
        <w:tc>
          <w:tcPr>
            <w:tcW w:w="6096" w:type="dxa"/>
            <w:gridSpan w:val="2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Annual maintenance costs for individuals with co-morbidities</w:t>
            </w:r>
          </w:p>
        </w:tc>
        <w:tc>
          <w:tcPr>
            <w:tcW w:w="2585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Diabetes mellitus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284"/>
        </w:trPr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Endocrinology review  (4 visits per year)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298.9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28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Ophthalmology review (2 visits per year)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149.4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284"/>
        </w:trPr>
        <w:tc>
          <w:tcPr>
            <w:tcW w:w="284" w:type="dxa"/>
            <w:tcBorders>
              <w:top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Laser photocoagulation therapy (2 visits per year  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284"/>
        </w:trPr>
        <w:tc>
          <w:tcPr>
            <w:tcW w:w="284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Podiatry review (4 visits per year)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244.4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268"/>
        </w:trPr>
        <w:tc>
          <w:tcPr>
            <w:tcW w:w="284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Dietician review (3 visits per year)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183.3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538"/>
        </w:trPr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Annual average costs for other concomitant medications: (anti-</w:t>
            </w:r>
            <w:proofErr w:type="spellStart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hypertensives</w:t>
            </w:r>
            <w:proofErr w:type="spellEnd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(15%), statins (15%), oral </w:t>
            </w:r>
            <w:proofErr w:type="spellStart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hypoglycaemics</w:t>
            </w:r>
            <w:proofErr w:type="spellEnd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(40%), </w:t>
            </w:r>
            <w:proofErr w:type="gramStart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insulin</w:t>
            </w:r>
            <w:proofErr w:type="gramEnd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(30%))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1501.6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8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302"/>
        </w:trPr>
        <w:tc>
          <w:tcPr>
            <w:tcW w:w="28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costs</w:t>
            </w:r>
          </w:p>
        </w:tc>
        <w:tc>
          <w:tcPr>
            <w:tcW w:w="258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2827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284"/>
        </w:trPr>
        <w:tc>
          <w:tcPr>
            <w:tcW w:w="284" w:type="dxa"/>
            <w:tcBorders>
              <w:top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Cardiovascular disease </w:t>
            </w:r>
          </w:p>
        </w:tc>
        <w:tc>
          <w:tcPr>
            <w:tcW w:w="2585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356"/>
        </w:trPr>
        <w:tc>
          <w:tcPr>
            <w:tcW w:w="284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Cardiology review (4 visits per year)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298.9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383"/>
        </w:trPr>
        <w:tc>
          <w:tcPr>
            <w:tcW w:w="284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Echocardiogram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115.3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284"/>
        </w:trPr>
        <w:tc>
          <w:tcPr>
            <w:tcW w:w="284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ECG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50.1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269"/>
        </w:trPr>
        <w:tc>
          <w:tcPr>
            <w:tcW w:w="284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Annual average costs for other concomitant medications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1875.6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527"/>
        </w:trPr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anti-</w:t>
            </w:r>
            <w:proofErr w:type="spellStart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hypertensives</w:t>
            </w:r>
            <w:proofErr w:type="spellEnd"/>
            <w:proofErr w:type="gramEnd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: beta blockers, nitrates, calcium channel blockers (50%), statins (30%), anti-platelet agents (20%)) 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Cerebrovascular disease</w:t>
            </w: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1789.3</w:t>
            </w: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  <w:t>(8)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302"/>
        </w:trPr>
        <w:tc>
          <w:tcPr>
            <w:tcW w:w="28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costs</w:t>
            </w:r>
          </w:p>
        </w:tc>
        <w:tc>
          <w:tcPr>
            <w:tcW w:w="258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2339.9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581"/>
        </w:trPr>
        <w:tc>
          <w:tcPr>
            <w:tcW w:w="284" w:type="dxa"/>
            <w:tcBorders>
              <w:top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Cerebrovascular disease </w:t>
            </w:r>
          </w:p>
        </w:tc>
        <w:tc>
          <w:tcPr>
            <w:tcW w:w="2585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427"/>
        </w:trPr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Neurology review ( 4 visits per year)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ab/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298.9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[9]</w:t>
            </w:r>
          </w:p>
        </w:tc>
      </w:tr>
      <w:tr w:rsidR="005113DB" w:rsidRPr="00465E7D" w:rsidTr="00F82EFD">
        <w:trPr>
          <w:trHeight w:hRule="exact" w:val="1019"/>
        </w:trPr>
        <w:tc>
          <w:tcPr>
            <w:tcW w:w="28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Annual average costs for other concomitant medications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anti-</w:t>
            </w:r>
            <w:proofErr w:type="spellStart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hypertensives</w:t>
            </w:r>
            <w:proofErr w:type="spellEnd"/>
            <w:proofErr w:type="gramEnd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(40%), statins (30%), anti-platelet agents (30%))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costs</w:t>
            </w:r>
          </w:p>
        </w:tc>
        <w:tc>
          <w:tcPr>
            <w:tcW w:w="258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1825.6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2124.5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8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525"/>
        </w:trPr>
        <w:tc>
          <w:tcPr>
            <w:tcW w:w="284" w:type="dxa"/>
            <w:tcBorders>
              <w:top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top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Obesity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8" w:space="0" w:color="auto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</w:tc>
      </w:tr>
      <w:tr w:rsidR="005113DB" w:rsidRPr="00465E7D" w:rsidTr="00F82EFD">
        <w:trPr>
          <w:trHeight w:hRule="exact" w:val="250"/>
        </w:trPr>
        <w:tc>
          <w:tcPr>
            <w:tcW w:w="284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Dietician review (3 visits per year) 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183.3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283"/>
        </w:trPr>
        <w:tc>
          <w:tcPr>
            <w:tcW w:w="284" w:type="dxa"/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Exercise physiotherapist review ( 3 visits per year)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183.3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</w:t>
            </w:r>
            <w:r w:rsidRPr="00EF263D">
              <w:rPr>
                <w:rFonts w:ascii="Times" w:hAnsi="Times" w:cs="Times New Roman"/>
                <w:bCs/>
                <w:sz w:val="18"/>
                <w:szCs w:val="18"/>
              </w:rPr>
              <w:t>9</w:t>
            </w:r>
            <w:r>
              <w:rPr>
                <w:rFonts w:ascii="Times" w:hAnsi="Times" w:cs="Times New Roman"/>
                <w:bCs/>
                <w:sz w:val="18"/>
                <w:szCs w:val="18"/>
              </w:rPr>
              <w:t>]</w:t>
            </w:r>
          </w:p>
        </w:tc>
      </w:tr>
      <w:tr w:rsidR="005113DB" w:rsidRPr="00465E7D" w:rsidTr="00F82EFD">
        <w:trPr>
          <w:trHeight w:hRule="exact" w:val="449"/>
        </w:trPr>
        <w:tc>
          <w:tcPr>
            <w:tcW w:w="284" w:type="dxa"/>
            <w:tcBorders>
              <w:bottom w:val="nil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5812" w:type="dxa"/>
            <w:tcBorders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Annual average costs for other concomitant medications</w:t>
            </w: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(</w:t>
            </w:r>
            <w:proofErr w:type="gramStart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anti-</w:t>
            </w:r>
            <w:proofErr w:type="spellStart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>hypertensives</w:t>
            </w:r>
            <w:proofErr w:type="spellEnd"/>
            <w:proofErr w:type="gramEnd"/>
            <w:r w:rsidRPr="00EF263D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(50%), statins (50%), )</w:t>
            </w:r>
          </w:p>
        </w:tc>
        <w:tc>
          <w:tcPr>
            <w:tcW w:w="2585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1251</w:t>
            </w:r>
          </w:p>
        </w:tc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  <w:r>
              <w:rPr>
                <w:rFonts w:ascii="Times" w:hAnsi="Times" w:cs="Times New Roman"/>
                <w:bCs/>
                <w:sz w:val="18"/>
                <w:szCs w:val="18"/>
              </w:rPr>
              <w:t>[8]</w:t>
            </w:r>
          </w:p>
        </w:tc>
      </w:tr>
      <w:tr w:rsidR="005113DB" w:rsidRPr="00087775" w:rsidTr="00F82EFD">
        <w:trPr>
          <w:trHeight w:hRule="exact" w:val="481"/>
        </w:trPr>
        <w:tc>
          <w:tcPr>
            <w:tcW w:w="284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465E7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  <w:tc>
          <w:tcPr>
            <w:tcW w:w="5812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Total costs</w:t>
            </w:r>
          </w:p>
        </w:tc>
        <w:tc>
          <w:tcPr>
            <w:tcW w:w="2585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  <w:r w:rsidRPr="00EF263D">
              <w:rPr>
                <w:rFonts w:ascii="Times New Roman" w:hAnsi="Times New Roman" w:cs="Times New Roman"/>
                <w:sz w:val="18"/>
                <w:szCs w:val="18"/>
              </w:rPr>
              <w:t>1617</w:t>
            </w:r>
          </w:p>
        </w:tc>
        <w:tc>
          <w:tcPr>
            <w:tcW w:w="1276" w:type="dxa"/>
            <w:tcBorders>
              <w:top w:val="nil"/>
              <w:bottom w:val="single" w:sz="8" w:space="0" w:color="auto"/>
            </w:tcBorders>
            <w:shd w:val="clear" w:color="auto" w:fill="auto"/>
          </w:tcPr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  <w:p w:rsidR="005113DB" w:rsidRPr="00EF263D" w:rsidRDefault="005113DB" w:rsidP="00F82EFD">
            <w:pPr>
              <w:tabs>
                <w:tab w:val="right" w:pos="360"/>
                <w:tab w:val="left" w:pos="540"/>
              </w:tabs>
              <w:rPr>
                <w:rFonts w:ascii="Times" w:hAnsi="Times" w:cs="Times New Roman"/>
                <w:bCs/>
                <w:sz w:val="18"/>
                <w:szCs w:val="18"/>
              </w:rPr>
            </w:pPr>
          </w:p>
        </w:tc>
      </w:tr>
    </w:tbl>
    <w:p w:rsidR="005113DB" w:rsidRDefault="005113DB" w:rsidP="005113DB">
      <w:pPr>
        <w:tabs>
          <w:tab w:val="right" w:pos="360"/>
          <w:tab w:val="left" w:pos="540"/>
        </w:tabs>
        <w:rPr>
          <w:rFonts w:ascii="Times New Roman" w:hAnsi="Times New Roman" w:cs="Times New Roman"/>
          <w:b/>
          <w:bCs/>
          <w:sz w:val="18"/>
          <w:szCs w:val="18"/>
        </w:rPr>
      </w:pPr>
    </w:p>
    <w:p w:rsidR="005113DB" w:rsidRPr="008C74ED" w:rsidRDefault="005113DB" w:rsidP="005113DB">
      <w:pPr>
        <w:rPr>
          <w:rFonts w:ascii="Times New Roman" w:hAnsi="Times New Roman" w:cs="Times New Roman"/>
        </w:rPr>
      </w:pPr>
      <w:r w:rsidRPr="008C74ED">
        <w:fldChar w:fldCharType="begin"/>
      </w:r>
      <w:r w:rsidRPr="008C74ED">
        <w:instrText xml:space="preserve"> ADDIN REFMGR.REFLIST </w:instrText>
      </w:r>
      <w:r w:rsidRPr="008C74ED">
        <w:fldChar w:fldCharType="separate"/>
      </w:r>
      <w:r w:rsidRPr="008C74ED">
        <w:rPr>
          <w:rFonts w:ascii="Times New Roman" w:hAnsi="Times New Roman" w:cs="Times New Roman"/>
        </w:rPr>
        <w:t>Reference List</w:t>
      </w:r>
    </w:p>
    <w:p w:rsidR="005113DB" w:rsidRPr="008C74ED" w:rsidRDefault="005113DB" w:rsidP="005113DB">
      <w:pPr>
        <w:jc w:val="center"/>
        <w:rPr>
          <w:rFonts w:ascii="Times New Roman" w:hAnsi="Times New Roman" w:cs="Times New Roman"/>
        </w:rPr>
      </w:pP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1. </w:t>
      </w:r>
      <w:r w:rsidRPr="008C74ED">
        <w:rPr>
          <w:rFonts w:ascii="Times New Roman" w:hAnsi="Times New Roman" w:cs="Times New Roman"/>
        </w:rPr>
        <w:tab/>
        <w:t xml:space="preserve">Australia and New Zealand Dialysis and Transplant Registry (ANZDATA), Special data request (2009).  2005. </w:t>
      </w:r>
      <w:r w:rsidRPr="008C74ED">
        <w:rPr>
          <w:rFonts w:ascii="Times New Roman" w:hAnsi="Times New Roman" w:cs="Times New Roman"/>
        </w:rPr>
        <w:br/>
        <w:t>Ref Type: Report</w:t>
      </w:r>
    </w:p>
    <w:p w:rsidR="005113DB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2. </w:t>
      </w:r>
      <w:r w:rsidRPr="008C74ED">
        <w:rPr>
          <w:rFonts w:ascii="Times New Roman" w:hAnsi="Times New Roman" w:cs="Times New Roman"/>
        </w:rPr>
        <w:tab/>
        <w:t xml:space="preserve">Australian and New Zealand Dialysis and Transplant Registry. </w:t>
      </w:r>
      <w:proofErr w:type="gramStart"/>
      <w:r w:rsidRPr="008C74ED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30th Annual Report.</w:t>
      </w:r>
      <w:proofErr w:type="gramEnd"/>
      <w:r>
        <w:rPr>
          <w:rFonts w:ascii="Times New Roman" w:hAnsi="Times New Roman" w:cs="Times New Roman"/>
        </w:rPr>
        <w:t xml:space="preserve">  1-2-2007. </w:t>
      </w:r>
      <w:bookmarkStart w:id="0" w:name="_GoBack"/>
      <w:bookmarkEnd w:id="0"/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3. </w:t>
      </w:r>
      <w:r w:rsidRPr="008C74ED">
        <w:rPr>
          <w:rFonts w:ascii="Times New Roman" w:hAnsi="Times New Roman" w:cs="Times New Roman"/>
        </w:rPr>
        <w:tab/>
        <w:t xml:space="preserve">Australia and New Zealand Organ Donation Registry. </w:t>
      </w:r>
      <w:proofErr w:type="gramStart"/>
      <w:r w:rsidRPr="008C74ED">
        <w:rPr>
          <w:rFonts w:ascii="Times New Roman" w:hAnsi="Times New Roman" w:cs="Times New Roman"/>
        </w:rPr>
        <w:t>ANZOD Registry Report 2008.</w:t>
      </w:r>
      <w:proofErr w:type="gramEnd"/>
      <w:r w:rsidRPr="008C74ED">
        <w:rPr>
          <w:rFonts w:ascii="Times New Roman" w:hAnsi="Times New Roman" w:cs="Times New Roman"/>
        </w:rPr>
        <w:t xml:space="preserve">  2010. Ad</w:t>
      </w:r>
      <w:r>
        <w:rPr>
          <w:rFonts w:ascii="Times New Roman" w:hAnsi="Times New Roman" w:cs="Times New Roman"/>
        </w:rPr>
        <w:t xml:space="preserve">elaide, South Australia, 5011. </w:t>
      </w: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4. </w:t>
      </w:r>
      <w:r w:rsidRPr="008C74ED">
        <w:rPr>
          <w:rFonts w:ascii="Times New Roman" w:hAnsi="Times New Roman" w:cs="Times New Roman"/>
        </w:rPr>
        <w:tab/>
        <w:t xml:space="preserve">Elli A, </w:t>
      </w:r>
      <w:proofErr w:type="spellStart"/>
      <w:r w:rsidRPr="008C74ED">
        <w:rPr>
          <w:rFonts w:ascii="Times New Roman" w:hAnsi="Times New Roman" w:cs="Times New Roman"/>
        </w:rPr>
        <w:t>Traversi</w:t>
      </w:r>
      <w:proofErr w:type="spellEnd"/>
      <w:r w:rsidRPr="008C74ED">
        <w:rPr>
          <w:rFonts w:ascii="Times New Roman" w:hAnsi="Times New Roman" w:cs="Times New Roman"/>
        </w:rPr>
        <w:t xml:space="preserve"> L, </w:t>
      </w:r>
      <w:proofErr w:type="spellStart"/>
      <w:r w:rsidRPr="008C74ED">
        <w:rPr>
          <w:rFonts w:ascii="Times New Roman" w:hAnsi="Times New Roman" w:cs="Times New Roman"/>
        </w:rPr>
        <w:t>Ponticelli</w:t>
      </w:r>
      <w:proofErr w:type="spellEnd"/>
      <w:r w:rsidRPr="008C74ED">
        <w:rPr>
          <w:rFonts w:ascii="Times New Roman" w:hAnsi="Times New Roman" w:cs="Times New Roman"/>
        </w:rPr>
        <w:t xml:space="preserve"> C</w:t>
      </w:r>
      <w:r>
        <w:rPr>
          <w:rFonts w:ascii="Times New Roman" w:hAnsi="Times New Roman" w:cs="Times New Roman"/>
        </w:rPr>
        <w:t xml:space="preserve"> (2000)</w:t>
      </w:r>
      <w:r w:rsidRPr="008C74ED">
        <w:rPr>
          <w:rFonts w:ascii="Times New Roman" w:hAnsi="Times New Roman" w:cs="Times New Roman"/>
        </w:rPr>
        <w:t xml:space="preserve">: Cardiovascular risk factors in renal transplant recipients. </w:t>
      </w:r>
      <w:r w:rsidRPr="008C74ED">
        <w:rPr>
          <w:rFonts w:ascii="Times New Roman" w:hAnsi="Times New Roman" w:cs="Times New Roman"/>
          <w:i/>
        </w:rPr>
        <w:t xml:space="preserve">International Journal of Artificial </w:t>
      </w:r>
      <w:proofErr w:type="gramStart"/>
      <w:r w:rsidRPr="008C74ED">
        <w:rPr>
          <w:rFonts w:ascii="Times New Roman" w:hAnsi="Times New Roman" w:cs="Times New Roman"/>
          <w:i/>
        </w:rPr>
        <w:t>Organs</w:t>
      </w:r>
      <w:r>
        <w:rPr>
          <w:rFonts w:ascii="Times New Roman" w:hAnsi="Times New Roman" w:cs="Times New Roman"/>
        </w:rPr>
        <w:t xml:space="preserve"> </w:t>
      </w:r>
      <w:r w:rsidRPr="008C74ED">
        <w:rPr>
          <w:rFonts w:ascii="Times New Roman" w:hAnsi="Times New Roman" w:cs="Times New Roman"/>
        </w:rPr>
        <w:t xml:space="preserve"> 23</w:t>
      </w:r>
      <w:proofErr w:type="gramEnd"/>
      <w:r w:rsidRPr="008C74ED">
        <w:rPr>
          <w:rFonts w:ascii="Times New Roman" w:hAnsi="Times New Roman" w:cs="Times New Roman"/>
        </w:rPr>
        <w:t>: 730-735.</w:t>
      </w: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5. </w:t>
      </w:r>
      <w:r w:rsidRPr="008C74ED">
        <w:rPr>
          <w:rFonts w:ascii="Times New Roman" w:hAnsi="Times New Roman" w:cs="Times New Roman"/>
        </w:rPr>
        <w:tab/>
        <w:t xml:space="preserve">Gill JS, </w:t>
      </w:r>
      <w:proofErr w:type="spellStart"/>
      <w:r w:rsidRPr="008C74ED">
        <w:rPr>
          <w:rFonts w:ascii="Times New Roman" w:hAnsi="Times New Roman" w:cs="Times New Roman"/>
        </w:rPr>
        <w:t>Abichandani</w:t>
      </w:r>
      <w:proofErr w:type="spellEnd"/>
      <w:r w:rsidRPr="008C74ED">
        <w:rPr>
          <w:rFonts w:ascii="Times New Roman" w:hAnsi="Times New Roman" w:cs="Times New Roman"/>
        </w:rPr>
        <w:t xml:space="preserve"> R, </w:t>
      </w:r>
      <w:proofErr w:type="spellStart"/>
      <w:proofErr w:type="gramStart"/>
      <w:r w:rsidRPr="008C74ED">
        <w:rPr>
          <w:rFonts w:ascii="Times New Roman" w:hAnsi="Times New Roman" w:cs="Times New Roman"/>
        </w:rPr>
        <w:t>Kausz</w:t>
      </w:r>
      <w:proofErr w:type="spellEnd"/>
      <w:proofErr w:type="gramEnd"/>
      <w:r w:rsidRPr="008C74ED">
        <w:rPr>
          <w:rFonts w:ascii="Times New Roman" w:hAnsi="Times New Roman" w:cs="Times New Roman"/>
        </w:rPr>
        <w:t xml:space="preserve"> AT, Pereira BJ</w:t>
      </w:r>
      <w:r>
        <w:rPr>
          <w:rFonts w:ascii="Times New Roman" w:hAnsi="Times New Roman" w:cs="Times New Roman"/>
        </w:rPr>
        <w:t xml:space="preserve"> (2002)</w:t>
      </w:r>
      <w:r w:rsidRPr="008C74ED">
        <w:rPr>
          <w:rFonts w:ascii="Times New Roman" w:hAnsi="Times New Roman" w:cs="Times New Roman"/>
        </w:rPr>
        <w:t xml:space="preserve">: Mortality after kidney transplant failure: the impact of non-immunologic factors. </w:t>
      </w:r>
      <w:r w:rsidRPr="008C74ED">
        <w:rPr>
          <w:rFonts w:ascii="Times New Roman" w:hAnsi="Times New Roman" w:cs="Times New Roman"/>
          <w:i/>
        </w:rPr>
        <w:t>Kidney International</w:t>
      </w:r>
      <w:r>
        <w:rPr>
          <w:rFonts w:ascii="Times New Roman" w:hAnsi="Times New Roman" w:cs="Times New Roman"/>
        </w:rPr>
        <w:t xml:space="preserve"> </w:t>
      </w:r>
      <w:r w:rsidRPr="008C74ED">
        <w:rPr>
          <w:rFonts w:ascii="Times New Roman" w:hAnsi="Times New Roman" w:cs="Times New Roman"/>
        </w:rPr>
        <w:t>62: 1875-1883.</w:t>
      </w: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6. </w:t>
      </w:r>
      <w:r w:rsidRPr="008C74ED">
        <w:rPr>
          <w:rFonts w:ascii="Times New Roman" w:hAnsi="Times New Roman" w:cs="Times New Roman"/>
        </w:rPr>
        <w:tab/>
        <w:t xml:space="preserve">Gill JS, </w:t>
      </w:r>
      <w:proofErr w:type="spellStart"/>
      <w:r w:rsidRPr="008C74ED">
        <w:rPr>
          <w:rFonts w:ascii="Times New Roman" w:hAnsi="Times New Roman" w:cs="Times New Roman"/>
        </w:rPr>
        <w:t>Tonelli</w:t>
      </w:r>
      <w:proofErr w:type="spellEnd"/>
      <w:r w:rsidRPr="008C74ED">
        <w:rPr>
          <w:rFonts w:ascii="Times New Roman" w:hAnsi="Times New Roman" w:cs="Times New Roman"/>
        </w:rPr>
        <w:t xml:space="preserve"> M, Johnson N, </w:t>
      </w:r>
      <w:proofErr w:type="spellStart"/>
      <w:r w:rsidRPr="008C74ED">
        <w:rPr>
          <w:rFonts w:ascii="Times New Roman" w:hAnsi="Times New Roman" w:cs="Times New Roman"/>
        </w:rPr>
        <w:t>Kiberd</w:t>
      </w:r>
      <w:proofErr w:type="spellEnd"/>
      <w:r w:rsidRPr="008C74ED">
        <w:rPr>
          <w:rFonts w:ascii="Times New Roman" w:hAnsi="Times New Roman" w:cs="Times New Roman"/>
        </w:rPr>
        <w:t xml:space="preserve"> B, </w:t>
      </w:r>
      <w:proofErr w:type="spellStart"/>
      <w:r w:rsidRPr="008C74ED">
        <w:rPr>
          <w:rFonts w:ascii="Times New Roman" w:hAnsi="Times New Roman" w:cs="Times New Roman"/>
        </w:rPr>
        <w:t>Landsberg</w:t>
      </w:r>
      <w:proofErr w:type="spellEnd"/>
      <w:r w:rsidRPr="008C74ED">
        <w:rPr>
          <w:rFonts w:ascii="Times New Roman" w:hAnsi="Times New Roman" w:cs="Times New Roman"/>
        </w:rPr>
        <w:t xml:space="preserve"> D, Pereira BJ</w:t>
      </w:r>
      <w:r>
        <w:rPr>
          <w:rFonts w:ascii="Times New Roman" w:hAnsi="Times New Roman" w:cs="Times New Roman"/>
        </w:rPr>
        <w:t xml:space="preserve"> (2005)</w:t>
      </w:r>
      <w:r w:rsidRPr="008C74ED">
        <w:rPr>
          <w:rFonts w:ascii="Times New Roman" w:hAnsi="Times New Roman" w:cs="Times New Roman"/>
        </w:rPr>
        <w:t xml:space="preserve">: The impact of waiting time and comorbid conditions on the survival benefit of kidney transplantation. </w:t>
      </w:r>
      <w:r w:rsidRPr="008C74ED">
        <w:rPr>
          <w:rFonts w:ascii="Times New Roman" w:hAnsi="Times New Roman" w:cs="Times New Roman"/>
          <w:i/>
        </w:rPr>
        <w:t>Kidney International</w:t>
      </w:r>
      <w:r>
        <w:rPr>
          <w:rFonts w:ascii="Times New Roman" w:hAnsi="Times New Roman" w:cs="Times New Roman"/>
        </w:rPr>
        <w:t xml:space="preserve"> </w:t>
      </w:r>
      <w:r w:rsidRPr="008C74ED">
        <w:rPr>
          <w:rFonts w:ascii="Times New Roman" w:hAnsi="Times New Roman" w:cs="Times New Roman"/>
        </w:rPr>
        <w:t>68: 2345-2351.</w:t>
      </w: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</w:r>
      <w:proofErr w:type="gramStart"/>
      <w:r w:rsidRPr="008C74ED">
        <w:rPr>
          <w:rFonts w:ascii="Times New Roman" w:hAnsi="Times New Roman" w:cs="Times New Roman"/>
        </w:rPr>
        <w:t xml:space="preserve">7. </w:t>
      </w:r>
      <w:r w:rsidRPr="008C74ED">
        <w:rPr>
          <w:rFonts w:ascii="Times New Roman" w:hAnsi="Times New Roman" w:cs="Times New Roman"/>
        </w:rPr>
        <w:tab/>
        <w:t>Commonwealth Department of Health and Ageing.</w:t>
      </w:r>
      <w:proofErr w:type="gramEnd"/>
      <w:r w:rsidRPr="008C74ED">
        <w:rPr>
          <w:rFonts w:ascii="Times New Roman" w:hAnsi="Times New Roman" w:cs="Times New Roman"/>
        </w:rPr>
        <w:t xml:space="preserve"> </w:t>
      </w:r>
      <w:proofErr w:type="gramStart"/>
      <w:r w:rsidRPr="008C74ED">
        <w:rPr>
          <w:rFonts w:ascii="Times New Roman" w:hAnsi="Times New Roman" w:cs="Times New Roman"/>
        </w:rPr>
        <w:t xml:space="preserve">Guidelines for the </w:t>
      </w:r>
      <w:proofErr w:type="spellStart"/>
      <w:r w:rsidRPr="008C74ED">
        <w:rPr>
          <w:rFonts w:ascii="Times New Roman" w:hAnsi="Times New Roman" w:cs="Times New Roman"/>
        </w:rPr>
        <w:t>pharcaceutical</w:t>
      </w:r>
      <w:proofErr w:type="spellEnd"/>
      <w:r w:rsidRPr="008C74ED">
        <w:rPr>
          <w:rFonts w:ascii="Times New Roman" w:hAnsi="Times New Roman" w:cs="Times New Roman"/>
        </w:rPr>
        <w:t xml:space="preserve"> industry on the preparation of submissions to the Pharmaceutical Benefits Advisory Committee.</w:t>
      </w:r>
      <w:proofErr w:type="gramEnd"/>
      <w:r w:rsidRPr="008C74ED">
        <w:rPr>
          <w:rFonts w:ascii="Times New Roman" w:hAnsi="Times New Roman" w:cs="Times New Roman"/>
        </w:rPr>
        <w:t xml:space="preserve">  2006.  Canberra, ACT: Commonwealth De</w:t>
      </w:r>
      <w:r>
        <w:rPr>
          <w:rFonts w:ascii="Times New Roman" w:hAnsi="Times New Roman" w:cs="Times New Roman"/>
        </w:rPr>
        <w:t xml:space="preserve">partment of Health and Ageing. </w:t>
      </w: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8. </w:t>
      </w:r>
      <w:r w:rsidRPr="008C74ED">
        <w:rPr>
          <w:rFonts w:ascii="Times New Roman" w:hAnsi="Times New Roman" w:cs="Times New Roman"/>
        </w:rPr>
        <w:tab/>
        <w:t xml:space="preserve">Australian Government Department of Health and Ageing: </w:t>
      </w:r>
      <w:proofErr w:type="spellStart"/>
      <w:r w:rsidRPr="008C74ED">
        <w:rPr>
          <w:rFonts w:ascii="Times New Roman" w:hAnsi="Times New Roman" w:cs="Times New Roman"/>
          <w:i/>
        </w:rPr>
        <w:t>Scedule</w:t>
      </w:r>
      <w:proofErr w:type="spellEnd"/>
      <w:r w:rsidRPr="008C74ED">
        <w:rPr>
          <w:rFonts w:ascii="Times New Roman" w:hAnsi="Times New Roman" w:cs="Times New Roman"/>
          <w:i/>
        </w:rPr>
        <w:t xml:space="preserve"> of Pharmaceutical Benefits</w:t>
      </w:r>
      <w:r w:rsidRPr="008C74ED">
        <w:rPr>
          <w:rFonts w:ascii="Times New Roman" w:hAnsi="Times New Roman" w:cs="Times New Roman"/>
        </w:rPr>
        <w:t>. 10 A.D.</w:t>
      </w: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</w:r>
      <w:proofErr w:type="gramStart"/>
      <w:r w:rsidRPr="008C74ED">
        <w:rPr>
          <w:rFonts w:ascii="Times New Roman" w:hAnsi="Times New Roman" w:cs="Times New Roman"/>
        </w:rPr>
        <w:t xml:space="preserve">9. </w:t>
      </w:r>
      <w:r w:rsidRPr="008C74ED">
        <w:rPr>
          <w:rFonts w:ascii="Times New Roman" w:hAnsi="Times New Roman" w:cs="Times New Roman"/>
        </w:rPr>
        <w:tab/>
        <w:t>Australian Government Department of Health and Ageing.</w:t>
      </w:r>
      <w:proofErr w:type="gramEnd"/>
      <w:r w:rsidRPr="008C74ED">
        <w:rPr>
          <w:rFonts w:ascii="Times New Roman" w:hAnsi="Times New Roman" w:cs="Times New Roman"/>
        </w:rPr>
        <w:t xml:space="preserve"> </w:t>
      </w:r>
      <w:proofErr w:type="gramStart"/>
      <w:r w:rsidRPr="008C74ED">
        <w:rPr>
          <w:rFonts w:ascii="Times New Roman" w:hAnsi="Times New Roman" w:cs="Times New Roman"/>
        </w:rPr>
        <w:t>Medicare Benef</w:t>
      </w:r>
      <w:r>
        <w:rPr>
          <w:rFonts w:ascii="Times New Roman" w:hAnsi="Times New Roman" w:cs="Times New Roman"/>
        </w:rPr>
        <w:t>its Schedule Book.</w:t>
      </w:r>
      <w:proofErr w:type="gramEnd"/>
      <w:r>
        <w:rPr>
          <w:rFonts w:ascii="Times New Roman" w:hAnsi="Times New Roman" w:cs="Times New Roman"/>
        </w:rPr>
        <w:t xml:space="preserve">  6-11-2006. </w:t>
      </w: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10. </w:t>
      </w:r>
      <w:r w:rsidRPr="008C74ED">
        <w:rPr>
          <w:rFonts w:ascii="Times New Roman" w:hAnsi="Times New Roman" w:cs="Times New Roman"/>
        </w:rPr>
        <w:tab/>
        <w:t xml:space="preserve">Australian Government of Health and Aging (AIHW). </w:t>
      </w:r>
      <w:proofErr w:type="gramStart"/>
      <w:r w:rsidRPr="008C74ED"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</w:rPr>
        <w:t>ustralia's health 2006.</w:t>
      </w:r>
      <w:proofErr w:type="gramEnd"/>
      <w:r>
        <w:rPr>
          <w:rFonts w:ascii="Times New Roman" w:hAnsi="Times New Roman" w:cs="Times New Roman"/>
        </w:rPr>
        <w:t xml:space="preserve">  2006. </w:t>
      </w: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11. </w:t>
      </w:r>
      <w:r w:rsidRPr="008C74ED">
        <w:rPr>
          <w:rFonts w:ascii="Times New Roman" w:hAnsi="Times New Roman" w:cs="Times New Roman"/>
        </w:rPr>
        <w:tab/>
        <w:t>Australian Government Australia Institute of Health and Welfare. AR-DRG dat</w:t>
      </w:r>
      <w:r>
        <w:rPr>
          <w:rFonts w:ascii="Times New Roman" w:hAnsi="Times New Roman" w:cs="Times New Roman"/>
        </w:rPr>
        <w:t xml:space="preserve">a cubes from 2006-2007.  2007. </w:t>
      </w: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12. </w:t>
      </w:r>
      <w:r w:rsidRPr="008C74ED">
        <w:rPr>
          <w:rFonts w:ascii="Times New Roman" w:hAnsi="Times New Roman" w:cs="Times New Roman"/>
        </w:rPr>
        <w:tab/>
        <w:t>Australian Institute of Health and Welfare. Australian Hospital Sta</w:t>
      </w:r>
      <w:r>
        <w:rPr>
          <w:rFonts w:ascii="Times New Roman" w:hAnsi="Times New Roman" w:cs="Times New Roman"/>
        </w:rPr>
        <w:t xml:space="preserve">tistics </w:t>
      </w:r>
      <w:proofErr w:type="gramStart"/>
      <w:r>
        <w:rPr>
          <w:rFonts w:ascii="Times New Roman" w:hAnsi="Times New Roman" w:cs="Times New Roman"/>
        </w:rPr>
        <w:t>( 2003</w:t>
      </w:r>
      <w:proofErr w:type="gramEnd"/>
      <w:r>
        <w:rPr>
          <w:rFonts w:ascii="Times New Roman" w:hAnsi="Times New Roman" w:cs="Times New Roman"/>
        </w:rPr>
        <w:t xml:space="preserve"> - 2004).  2004. </w:t>
      </w:r>
    </w:p>
    <w:p w:rsidR="005113DB" w:rsidRPr="008C74ED" w:rsidRDefault="005113DB" w:rsidP="005113DB">
      <w:pPr>
        <w:tabs>
          <w:tab w:val="right" w:pos="360"/>
          <w:tab w:val="left" w:pos="540"/>
        </w:tabs>
        <w:spacing w:after="240"/>
        <w:ind w:left="540" w:hanging="540"/>
        <w:rPr>
          <w:rFonts w:ascii="Times New Roman" w:hAnsi="Times New Roman" w:cs="Times New Roman"/>
        </w:rPr>
      </w:pPr>
      <w:r w:rsidRPr="008C74ED">
        <w:rPr>
          <w:rFonts w:ascii="Times New Roman" w:hAnsi="Times New Roman" w:cs="Times New Roman"/>
        </w:rPr>
        <w:tab/>
        <w:t xml:space="preserve">13. </w:t>
      </w:r>
      <w:r w:rsidRPr="008C74ED">
        <w:rPr>
          <w:rFonts w:ascii="Times New Roman" w:hAnsi="Times New Roman" w:cs="Times New Roman"/>
        </w:rPr>
        <w:tab/>
        <w:t xml:space="preserve">Hogan C, </w:t>
      </w:r>
      <w:proofErr w:type="spellStart"/>
      <w:r w:rsidRPr="008C74ED">
        <w:rPr>
          <w:rFonts w:ascii="Times New Roman" w:hAnsi="Times New Roman" w:cs="Times New Roman"/>
        </w:rPr>
        <w:t>Lunney</w:t>
      </w:r>
      <w:proofErr w:type="spellEnd"/>
      <w:r w:rsidRPr="008C74ED">
        <w:rPr>
          <w:rFonts w:ascii="Times New Roman" w:hAnsi="Times New Roman" w:cs="Times New Roman"/>
        </w:rPr>
        <w:t xml:space="preserve"> J, Gabel J, Lynn J</w:t>
      </w:r>
      <w:r>
        <w:rPr>
          <w:rFonts w:ascii="Times New Roman" w:hAnsi="Times New Roman" w:cs="Times New Roman"/>
        </w:rPr>
        <w:t xml:space="preserve"> (2001)</w:t>
      </w:r>
      <w:r w:rsidRPr="008C74ED">
        <w:rPr>
          <w:rFonts w:ascii="Times New Roman" w:hAnsi="Times New Roman" w:cs="Times New Roman"/>
        </w:rPr>
        <w:t xml:space="preserve">: Medicare beneficiaries' costs of care in the last year of life. </w:t>
      </w:r>
      <w:r w:rsidRPr="008C74ED">
        <w:rPr>
          <w:rFonts w:ascii="Times New Roman" w:hAnsi="Times New Roman" w:cs="Times New Roman"/>
          <w:i/>
        </w:rPr>
        <w:t>Health Affairs</w:t>
      </w:r>
      <w:r>
        <w:rPr>
          <w:rFonts w:ascii="Times New Roman" w:hAnsi="Times New Roman" w:cs="Times New Roman"/>
        </w:rPr>
        <w:t xml:space="preserve"> </w:t>
      </w:r>
      <w:r w:rsidRPr="008C74ED">
        <w:rPr>
          <w:rFonts w:ascii="Times New Roman" w:hAnsi="Times New Roman" w:cs="Times New Roman"/>
        </w:rPr>
        <w:t>20: 188-195.</w:t>
      </w:r>
    </w:p>
    <w:p w:rsidR="005113DB" w:rsidRPr="008C74ED" w:rsidRDefault="005113DB" w:rsidP="005113DB">
      <w:pPr>
        <w:tabs>
          <w:tab w:val="right" w:pos="360"/>
          <w:tab w:val="left" w:pos="540"/>
        </w:tabs>
        <w:ind w:left="540" w:hanging="540"/>
        <w:rPr>
          <w:rFonts w:ascii="Times New Roman" w:hAnsi="Times New Roman" w:cs="Times New Roman"/>
        </w:rPr>
      </w:pPr>
    </w:p>
    <w:p w:rsidR="00996535" w:rsidRDefault="005113DB" w:rsidP="005113DB">
      <w:r w:rsidRPr="008C74ED">
        <w:fldChar w:fldCharType="end"/>
      </w:r>
    </w:p>
    <w:sectPr w:rsidR="00996535" w:rsidSect="005113DB">
      <w:pgSz w:w="11906" w:h="16838" w:code="9"/>
      <w:pgMar w:top="113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3DB"/>
    <w:rsid w:val="000E4777"/>
    <w:rsid w:val="001279A3"/>
    <w:rsid w:val="00170D57"/>
    <w:rsid w:val="005113DB"/>
    <w:rsid w:val="00972956"/>
    <w:rsid w:val="00996535"/>
    <w:rsid w:val="00A80F91"/>
    <w:rsid w:val="00CC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DB"/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13DB"/>
    <w:rPr>
      <w:rFonts w:ascii="Helvetica" w:hAnsi="Helvetica" w:cs="Helveti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8E472868</Template>
  <TotalTime>1</TotalTime>
  <Pages>3</Pages>
  <Words>823</Words>
  <Characters>43728</Characters>
  <Application>Microsoft Office Word</Application>
  <DocSecurity>0</DocSecurity>
  <Lines>364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CHW</Company>
  <LinksUpToDate>false</LinksUpToDate>
  <CharactersWithSpaces>44463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Germaine Wong</dc:creator>
  <cp:keywords/>
  <dc:description/>
  <cp:lastModifiedBy>Germaine Wong</cp:lastModifiedBy>
  <cp:revision>1</cp:revision>
  <dcterms:created xsi:type="dcterms:W3CDTF">2011-12-06T06:15:00Z</dcterms:created>
  <dcterms:modified xsi:type="dcterms:W3CDTF">2011-12-06T06:16:00Z</dcterms:modified>
</cp:coreProperties>
</file>