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4" w:rsidRPr="00097744" w:rsidRDefault="00097744" w:rsidP="00097744">
      <w:pPr>
        <w:spacing w:line="480" w:lineRule="auto"/>
        <w:rPr>
          <w:rFonts w:ascii="Calibri" w:hAnsi="Calibri" w:cs="Arial"/>
          <w:b/>
          <w:sz w:val="28"/>
          <w:szCs w:val="28"/>
        </w:rPr>
      </w:pPr>
      <w:r>
        <w:rPr>
          <w:rFonts w:ascii="Calibri" w:hAnsi="Calibri" w:cs="Arial"/>
          <w:b/>
          <w:sz w:val="28"/>
          <w:szCs w:val="28"/>
        </w:rPr>
        <w:t>Appendix S2</w:t>
      </w:r>
    </w:p>
    <w:p w:rsidR="00097744" w:rsidRDefault="00A9119B" w:rsidP="00097744">
      <w:pPr>
        <w:rPr>
          <w:rFonts w:ascii="Calibri" w:hAnsi="Calibri" w:cs="Arial"/>
          <w:b/>
        </w:rPr>
      </w:pPr>
      <w:r w:rsidRPr="00A9119B">
        <w:rPr>
          <w:rFonts w:ascii="Calibri" w:hAnsi="Calibri"/>
          <w:b/>
        </w:rPr>
        <w:t>S</w:t>
      </w:r>
      <w:r w:rsidRPr="00A9119B">
        <w:rPr>
          <w:rFonts w:ascii="Calibri" w:hAnsi="Calibri" w:cs="Arial"/>
          <w:b/>
        </w:rPr>
        <w:t>imple statistical model used to estimate the proportion of seropositive results due to vaccination</w:t>
      </w:r>
    </w:p>
    <w:p w:rsidR="00A9119B" w:rsidRPr="00A9119B" w:rsidRDefault="00A9119B" w:rsidP="00097744">
      <w:pPr>
        <w:rPr>
          <w:rFonts w:ascii="Calibri" w:hAnsi="Calibri" w:cs="Arial"/>
          <w:b/>
        </w:rPr>
      </w:pPr>
      <w:bookmarkStart w:id="0" w:name="_GoBack"/>
      <w:bookmarkEnd w:id="0"/>
    </w:p>
    <w:p w:rsidR="00097744" w:rsidRDefault="00097744" w:rsidP="00097744">
      <w:pPr>
        <w:rPr>
          <w:rFonts w:ascii="Calibri" w:hAnsi="Calibri" w:cs="Arial"/>
        </w:rPr>
      </w:pPr>
    </w:p>
    <w:p w:rsidR="00097744" w:rsidRDefault="00097744" w:rsidP="00097744">
      <w:pPr>
        <w:spacing w:line="480" w:lineRule="auto"/>
        <w:rPr>
          <w:rFonts w:ascii="Calibri" w:hAnsi="Calibri" w:cs="Arial"/>
        </w:rPr>
      </w:pPr>
      <w:r>
        <w:rPr>
          <w:rFonts w:ascii="Calibri" w:hAnsi="Calibri" w:cs="Arial"/>
        </w:rPr>
        <w:t xml:space="preserve">We created a simple statistical model to estimate the proportion of seropositive results due to vaccination (i.e., vaccine-induced </w:t>
      </w:r>
      <w:proofErr w:type="spellStart"/>
      <w:r>
        <w:rPr>
          <w:rFonts w:ascii="Calibri" w:hAnsi="Calibri" w:cs="Arial"/>
        </w:rPr>
        <w:t>seropositivity</w:t>
      </w:r>
      <w:proofErr w:type="spellEnd"/>
      <w:r>
        <w:rPr>
          <w:rFonts w:ascii="Calibri" w:hAnsi="Calibri" w:cs="Arial"/>
        </w:rPr>
        <w:t>).  Inputs to the model included vaccination coverage estimates, vaccine immunogenicity estimates from the literature, and an estimate of the number of persons vaccinated who had pH1N1 virus infection prior to vaccination.</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t xml:space="preserve">Using the weekly rate of increase in vaccination coverage from national NHFS estimates, we interpolated weekly Florida vaccination coverage estimates from the monthly Florida NHFS/BRFSS estimates.  We used vaccination estimates for two weeks prior to the date of sample collection to account for the delay in immune response to vaccination </w:t>
      </w:r>
      <w:r>
        <w:rPr>
          <w:rFonts w:ascii="Calibri" w:hAnsi="Calibri" w:cs="Arial"/>
        </w:rPr>
        <w:fldChar w:fldCharType="begin"/>
      </w:r>
      <w:r>
        <w:rPr>
          <w:rFonts w:ascii="Calibri" w:hAnsi="Calibri" w:cs="Arial"/>
        </w:rPr>
        <w:instrText xml:space="preserve"> ADDIN EN.CITE &lt;EndNote&gt;&lt;Cite&gt;&lt;Author&gt;Cox&lt;/Author&gt;&lt;Year&gt;1994&lt;/Year&gt;&lt;RecNum&gt;159&lt;/RecNum&gt;&lt;DisplayText&gt;[40]&lt;/DisplayText&gt;&lt;record&gt;&lt;rec-number&gt;159&lt;/rec-number&gt;&lt;foreign-keys&gt;&lt;key app="EN" db-id="rxardre06z5e2sewddsp9vss95002p9xev9d"&gt;159&lt;/key&gt;&lt;/foreign-keys&gt;&lt;ref-type name="Journal Article"&gt;17&lt;/ref-type&gt;&lt;contributors&gt;&lt;authors&gt;&lt;author&gt;Cox, R. J.&lt;/author&gt;&lt;author&gt;Brokstad, K. A.&lt;/author&gt;&lt;author&gt;Zuckerman, M. A.&lt;/author&gt;&lt;author&gt;Wood, J. M.&lt;/author&gt;&lt;author&gt;Haaheim, L. R.&lt;/author&gt;&lt;author&gt;Oxford, J. S.&lt;/author&gt;&lt;/authors&gt;&lt;/contributors&gt;&lt;auth-address&gt;Department of Medical Microbiology, London Hospital Medical College, Whitechapel, UK.&lt;/auth-address&gt;&lt;titles&gt;&lt;title&gt;An early humoral immune response in peripheral blood following parenteral inactivated influenza vaccination&lt;/title&gt;&lt;secondary-title&gt;Vaccine&lt;/secondary-title&gt;&lt;/titles&gt;&lt;periodical&gt;&lt;full-title&gt;Vaccine&lt;/full-title&gt;&lt;/periodical&gt;&lt;pages&gt;993-9&lt;/pages&gt;&lt;volume&gt;12&lt;/volume&gt;&lt;number&gt;11&lt;/number&gt;&lt;edition&gt;1994/08/01&lt;/edition&gt;&lt;keywords&gt;&lt;keyword&gt;Adult&lt;/keyword&gt;&lt;keyword&gt;Antibodies, Viral/*biosynthesis&lt;/keyword&gt;&lt;keyword&gt;Enzyme-Linked Immunosorbent Assay&lt;/keyword&gt;&lt;keyword&gt;Female&lt;/keyword&gt;&lt;keyword&gt;Hemagglutination Inhibition Tests&lt;/keyword&gt;&lt;keyword&gt;Hemolytic Plaque Technique&lt;/keyword&gt;&lt;keyword&gt;Humans&lt;/keyword&gt;&lt;keyword&gt;Immunoglobulin Isotypes/biosynthesis&lt;/keyword&gt;&lt;keyword&gt;Influenza Vaccines/administration &amp;amp; dosage/*immunology&lt;/keyword&gt;&lt;keyword&gt;Male&lt;/keyword&gt;&lt;keyword&gt;Middle Aged&lt;/keyword&gt;&lt;keyword&gt;Neutralization Tests&lt;/keyword&gt;&lt;keyword&gt;Vaccines, Inactivated/administration &amp;amp; dosage/immunology&lt;/keyword&gt;&lt;/keywords&gt;&lt;dates&gt;&lt;year&gt;1994&lt;/year&gt;&lt;pub-dates&gt;&lt;date&gt;Aug&lt;/date&gt;&lt;/pub-dates&gt;&lt;/dates&gt;&lt;isbn&gt;0264-410X (Print)&amp;#xD;0264-410X (Linking)&lt;/isbn&gt;&lt;accession-num&gt;7975853&lt;/accession-num&gt;&lt;urls&gt;&lt;related-urls&gt;&lt;url&gt;http://www.ncbi.nlm.nih.gov/pubmed/7975853&lt;/url&gt;&lt;/related-urls&gt;&lt;/urls&gt;&lt;language&gt;eng&lt;/language&gt;&lt;/record&gt;&lt;/Cite&gt;&lt;/EndNote&gt;</w:instrText>
      </w:r>
      <w:r>
        <w:rPr>
          <w:rFonts w:ascii="Calibri" w:hAnsi="Calibri" w:cs="Arial"/>
        </w:rPr>
        <w:fldChar w:fldCharType="separate"/>
      </w:r>
      <w:r>
        <w:rPr>
          <w:rFonts w:ascii="Calibri" w:hAnsi="Calibri" w:cs="Arial"/>
          <w:noProof/>
        </w:rPr>
        <w:t>[</w:t>
      </w:r>
      <w:hyperlink r:id="rId5" w:anchor="_ENREF_40" w:tooltip="Cox, 1994 #159" w:history="1">
        <w:r>
          <w:rPr>
            <w:rStyle w:val="Hyperlink"/>
            <w:rFonts w:ascii="Calibri" w:hAnsi="Calibri" w:cs="Arial"/>
            <w:noProof/>
            <w:color w:val="auto"/>
            <w:u w:val="none"/>
          </w:rPr>
          <w:t>40</w:t>
        </w:r>
      </w:hyperlink>
      <w:r>
        <w:rPr>
          <w:rFonts w:ascii="Calibri" w:hAnsi="Calibri" w:cs="Arial"/>
          <w:noProof/>
        </w:rPr>
        <w:t>]</w:t>
      </w:r>
      <w:r>
        <w:rPr>
          <w:rFonts w:ascii="Calibri" w:hAnsi="Calibri" w:cs="Arial"/>
        </w:rPr>
        <w:fldChar w:fldCharType="end"/>
      </w:r>
      <w:r>
        <w:rPr>
          <w:rFonts w:ascii="Calibri" w:hAnsi="Calibri" w:cs="Arial"/>
        </w:rPr>
        <w:t xml:space="preserve">.  Vaccination estimates for adults correspond to the week of November 16-22, 2009, two weeks prior to the sample collection period of November 30 through December 3, 2009 (Table S1).  </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t>Pediatric samples were collected over 7 weeks (November 14 through December 31, 2009) with a greater proportion of samples collected earlier in that time period.  We grouped pediatric samples by week of sample collection.  Vaccination estimates two weeks prior to sample collection were then applied to each group.  We then calculated an overall weighted vaccination estimate based on the weekly vaccination estimates and the number of children sampled each week (</w:t>
      </w:r>
      <w:r>
        <w:rPr>
          <w:rFonts w:ascii="Calibri" w:hAnsi="Calibri" w:cs="Arial"/>
          <w:b/>
        </w:rPr>
        <w:t>column A</w:t>
      </w:r>
      <w:r>
        <w:rPr>
          <w:rFonts w:ascii="Calibri" w:hAnsi="Calibri" w:cs="Arial"/>
        </w:rPr>
        <w:t xml:space="preserve">).  </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lastRenderedPageBreak/>
        <w:t>We assumed that not all vaccinated individuals developed an HI antibody titer of ≥40 after vaccination.  Our model included an estimate of vaccine immunogenicity by age group (</w:t>
      </w:r>
      <w:r>
        <w:rPr>
          <w:rFonts w:ascii="Calibri" w:hAnsi="Calibri" w:cs="Arial"/>
          <w:b/>
        </w:rPr>
        <w:t>column B</w:t>
      </w:r>
      <w:r>
        <w:rPr>
          <w:rFonts w:ascii="Calibri" w:hAnsi="Calibri" w:cs="Arial"/>
        </w:rPr>
        <w:t xml:space="preserve">) based on pH1N1 vaccine trials among various age groups </w:t>
      </w:r>
      <w:r>
        <w:rPr>
          <w:rFonts w:ascii="Calibri" w:hAnsi="Calibri" w:cs="Arial"/>
        </w:rPr>
        <w:fldChar w:fldCharType="begin">
          <w:fldData xml:space="preserve">PEVuZE5vdGU+PENpdGU+PEF1dGhvcj5Ob2xhbjwvQXV0aG9yPjxZZWFyPjIwMTA8L1llYXI+PFJl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=
</w:fldData>
        </w:fldChar>
      </w:r>
      <w:r>
        <w:rPr>
          <w:rFonts w:ascii="Calibri" w:hAnsi="Calibri" w:cs="Arial"/>
        </w:rPr>
        <w:instrText xml:space="preserve"> ADDIN EN.CITE </w:instrText>
      </w:r>
      <w:r>
        <w:rPr>
          <w:rFonts w:ascii="Calibri" w:hAnsi="Calibri" w:cs="Arial"/>
        </w:rPr>
        <w:fldChar w:fldCharType="begin">
          <w:fldData xml:space="preserve">PEVuZE5vdGU+PENpdGU+PEF1dGhvcj5Ob2xhbjwvQXV0aG9yPjxZZWFyPjIwMTA8L1llYXI+PFJl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=
</w:fldData>
        </w:fldChar>
      </w:r>
      <w:r>
        <w:rPr>
          <w:rFonts w:ascii="Calibri" w:hAnsi="Calibri" w:cs="Arial"/>
        </w:rPr>
        <w:instrText xml:space="preserve"> ADDIN EN.CITE.DATA </w:instrText>
      </w:r>
      <w:r>
        <w:rPr>
          <w:rFonts w:ascii="Calibri" w:hAnsi="Calibri" w:cs="Arial"/>
        </w:rPr>
      </w:r>
      <w:r>
        <w:rPr>
          <w:rFonts w:ascii="Calibri" w:hAnsi="Calibri" w:cs="Arial"/>
        </w:rPr>
        <w:fldChar w:fldCharType="end"/>
      </w:r>
      <w:r>
        <w:rPr>
          <w:rFonts w:ascii="Calibri" w:hAnsi="Calibri" w:cs="Arial"/>
        </w:rPr>
      </w:r>
      <w:r>
        <w:rPr>
          <w:rFonts w:ascii="Calibri" w:hAnsi="Calibri" w:cs="Arial"/>
        </w:rPr>
        <w:fldChar w:fldCharType="separate"/>
      </w:r>
      <w:r>
        <w:rPr>
          <w:rFonts w:ascii="Calibri" w:hAnsi="Calibri" w:cs="Arial"/>
          <w:noProof/>
        </w:rPr>
        <w:t>[</w:t>
      </w:r>
      <w:hyperlink r:id="rId6" w:anchor="_ENREF_33" w:tooltip="Zhu, 2009 #4" w:history="1">
        <w:r>
          <w:rPr>
            <w:rStyle w:val="Hyperlink"/>
            <w:rFonts w:ascii="Calibri" w:hAnsi="Calibri" w:cs="Arial"/>
            <w:noProof/>
            <w:color w:val="auto"/>
            <w:u w:val="none"/>
          </w:rPr>
          <w:t>33</w:t>
        </w:r>
      </w:hyperlink>
      <w:r>
        <w:rPr>
          <w:rFonts w:ascii="Calibri" w:hAnsi="Calibri" w:cs="Arial"/>
          <w:noProof/>
        </w:rPr>
        <w:t>,</w:t>
      </w:r>
      <w:hyperlink r:id="rId7" w:anchor="_ENREF_34" w:tooltip="Nolan, 2010 #5" w:history="1">
        <w:r>
          <w:rPr>
            <w:rStyle w:val="Hyperlink"/>
            <w:rFonts w:ascii="Calibri" w:hAnsi="Calibri" w:cs="Arial"/>
            <w:noProof/>
            <w:color w:val="auto"/>
            <w:u w:val="none"/>
          </w:rPr>
          <w:t>34</w:t>
        </w:r>
      </w:hyperlink>
      <w:r>
        <w:rPr>
          <w:rFonts w:ascii="Calibri" w:hAnsi="Calibri" w:cs="Arial"/>
          <w:noProof/>
        </w:rPr>
        <w:t>,</w:t>
      </w:r>
      <w:hyperlink r:id="rId8" w:anchor="_ENREF_35" w:tooltip="Plennevaux, 2010 #8" w:history="1">
        <w:r>
          <w:rPr>
            <w:rStyle w:val="Hyperlink"/>
            <w:rFonts w:ascii="Calibri" w:hAnsi="Calibri" w:cs="Arial"/>
            <w:noProof/>
            <w:color w:val="auto"/>
            <w:u w:val="none"/>
          </w:rPr>
          <w:t>35</w:t>
        </w:r>
      </w:hyperlink>
      <w:r>
        <w:rPr>
          <w:rFonts w:ascii="Calibri" w:hAnsi="Calibri" w:cs="Arial"/>
          <w:noProof/>
        </w:rPr>
        <w:t>]</w:t>
      </w:r>
      <w:r>
        <w:rPr>
          <w:rFonts w:ascii="Calibri" w:hAnsi="Calibri" w:cs="Arial"/>
        </w:rPr>
        <w:fldChar w:fldCharType="end"/>
      </w:r>
      <w:r>
        <w:rPr>
          <w:rFonts w:ascii="Calibri" w:hAnsi="Calibri" w:cs="Arial"/>
        </w:rPr>
        <w:t>.  We multiplied the “vaccine coverage estimate” (</w:t>
      </w:r>
      <w:r>
        <w:rPr>
          <w:rFonts w:ascii="Calibri" w:hAnsi="Calibri" w:cs="Arial"/>
          <w:b/>
        </w:rPr>
        <w:t>column A</w:t>
      </w:r>
      <w:r>
        <w:rPr>
          <w:rFonts w:ascii="Calibri" w:hAnsi="Calibri" w:cs="Arial"/>
        </w:rPr>
        <w:t>) by the “vaccine immunogenicity estimate” (</w:t>
      </w:r>
      <w:r>
        <w:rPr>
          <w:rFonts w:ascii="Calibri" w:hAnsi="Calibri" w:cs="Arial"/>
          <w:b/>
        </w:rPr>
        <w:t>column B</w:t>
      </w:r>
      <w:r>
        <w:rPr>
          <w:rFonts w:ascii="Calibri" w:hAnsi="Calibri" w:cs="Arial"/>
        </w:rPr>
        <w:t xml:space="preserve">) to arrive at a product termed “proportion with vaccine-induced </w:t>
      </w:r>
      <w:proofErr w:type="spellStart"/>
      <w:r>
        <w:rPr>
          <w:rFonts w:ascii="Calibri" w:hAnsi="Calibri" w:cs="Arial"/>
        </w:rPr>
        <w:t>seropositivity</w:t>
      </w:r>
      <w:proofErr w:type="spellEnd"/>
      <w:r>
        <w:rPr>
          <w:rFonts w:ascii="Calibri" w:hAnsi="Calibri" w:cs="Arial"/>
        </w:rPr>
        <w:t>” (</w:t>
      </w:r>
      <w:r>
        <w:rPr>
          <w:rFonts w:ascii="Calibri" w:hAnsi="Calibri" w:cs="Arial"/>
          <w:b/>
        </w:rPr>
        <w:t>column C</w:t>
      </w:r>
      <w:r>
        <w:rPr>
          <w:rFonts w:ascii="Calibri" w:hAnsi="Calibri" w:cs="Arial"/>
        </w:rPr>
        <w:t xml:space="preserve">).  </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t xml:space="preserve">In order to account for individuals who may have been infected with pH1N1 virus prior to vaccination, we first subtracted the “proportion with vaccine-induced </w:t>
      </w:r>
      <w:proofErr w:type="spellStart"/>
      <w:r>
        <w:rPr>
          <w:rFonts w:ascii="Calibri" w:hAnsi="Calibri" w:cs="Arial"/>
        </w:rPr>
        <w:t>seropositivity</w:t>
      </w:r>
      <w:proofErr w:type="spellEnd"/>
      <w:r>
        <w:rPr>
          <w:rFonts w:ascii="Calibri" w:hAnsi="Calibri" w:cs="Arial"/>
        </w:rPr>
        <w:t>” (</w:t>
      </w:r>
      <w:r>
        <w:rPr>
          <w:rFonts w:ascii="Calibri" w:hAnsi="Calibri" w:cs="Arial"/>
          <w:b/>
        </w:rPr>
        <w:t>column C</w:t>
      </w:r>
      <w:r>
        <w:rPr>
          <w:rFonts w:ascii="Calibri" w:hAnsi="Calibri" w:cs="Arial"/>
        </w:rPr>
        <w:t xml:space="preserve">) from the assay-adjusted </w:t>
      </w:r>
      <w:proofErr w:type="spellStart"/>
      <w:r>
        <w:rPr>
          <w:rFonts w:ascii="Calibri" w:hAnsi="Calibri" w:cs="Arial"/>
        </w:rPr>
        <w:t>seroprevalence</w:t>
      </w:r>
      <w:proofErr w:type="spellEnd"/>
      <w:r>
        <w:rPr>
          <w:rFonts w:ascii="Calibri" w:hAnsi="Calibri" w:cs="Arial"/>
        </w:rPr>
        <w:t xml:space="preserve"> estimate (</w:t>
      </w:r>
      <w:r>
        <w:rPr>
          <w:rFonts w:ascii="Calibri" w:hAnsi="Calibri" w:cs="Arial"/>
          <w:b/>
        </w:rPr>
        <w:t>column D</w:t>
      </w:r>
      <w:r>
        <w:rPr>
          <w:rFonts w:ascii="Calibri" w:hAnsi="Calibri" w:cs="Arial"/>
        </w:rPr>
        <w:t xml:space="preserve">) to arrive at an adjusted </w:t>
      </w:r>
      <w:proofErr w:type="spellStart"/>
      <w:r>
        <w:rPr>
          <w:rFonts w:ascii="Calibri" w:hAnsi="Calibri" w:cs="Arial"/>
        </w:rPr>
        <w:t>seroprevalence</w:t>
      </w:r>
      <w:proofErr w:type="spellEnd"/>
      <w:r>
        <w:rPr>
          <w:rFonts w:ascii="Calibri" w:hAnsi="Calibri" w:cs="Arial"/>
        </w:rPr>
        <w:t xml:space="preserve"> estimate that excludes vaccine-induced </w:t>
      </w:r>
      <w:proofErr w:type="spellStart"/>
      <w:r>
        <w:rPr>
          <w:rFonts w:ascii="Calibri" w:hAnsi="Calibri" w:cs="Arial"/>
        </w:rPr>
        <w:t>seropositivity</w:t>
      </w:r>
      <w:proofErr w:type="spellEnd"/>
      <w:r>
        <w:rPr>
          <w:rFonts w:ascii="Calibri" w:hAnsi="Calibri" w:cs="Arial"/>
        </w:rPr>
        <w:t xml:space="preserve">.  We assumed that this proportion of people may have had pH1N1 virus infection prior to vaccination, thus we multiplied this number by the “proportion with vaccine-induced </w:t>
      </w:r>
      <w:proofErr w:type="spellStart"/>
      <w:r>
        <w:rPr>
          <w:rFonts w:ascii="Calibri" w:hAnsi="Calibri" w:cs="Arial"/>
        </w:rPr>
        <w:t>seropositivity</w:t>
      </w:r>
      <w:proofErr w:type="spellEnd"/>
      <w:r>
        <w:rPr>
          <w:rFonts w:ascii="Calibri" w:hAnsi="Calibri" w:cs="Arial"/>
        </w:rPr>
        <w:t>” (</w:t>
      </w:r>
      <w:r>
        <w:rPr>
          <w:rFonts w:ascii="Calibri" w:hAnsi="Calibri" w:cs="Arial"/>
          <w:b/>
        </w:rPr>
        <w:t>column C</w:t>
      </w:r>
      <w:r>
        <w:rPr>
          <w:rFonts w:ascii="Calibri" w:hAnsi="Calibri" w:cs="Arial"/>
        </w:rPr>
        <w:t>) to calculate the resulting “proportion with infection prior to vaccination” (</w:t>
      </w:r>
      <w:r>
        <w:rPr>
          <w:rFonts w:ascii="Calibri" w:hAnsi="Calibri" w:cs="Arial"/>
          <w:b/>
        </w:rPr>
        <w:t>column E</w:t>
      </w:r>
      <w:r>
        <w:rPr>
          <w:rFonts w:ascii="Calibri" w:hAnsi="Calibri" w:cs="Arial"/>
        </w:rPr>
        <w:t xml:space="preserve">).  The same calculation was applied based on the lower and upper bounds of the confidence intervals from the assay-adjusted </w:t>
      </w:r>
      <w:proofErr w:type="spellStart"/>
      <w:r>
        <w:rPr>
          <w:rFonts w:ascii="Calibri" w:hAnsi="Calibri" w:cs="Arial"/>
        </w:rPr>
        <w:t>seroprevalance</w:t>
      </w:r>
      <w:proofErr w:type="spellEnd"/>
      <w:r>
        <w:rPr>
          <w:rFonts w:ascii="Calibri" w:hAnsi="Calibri" w:cs="Arial"/>
        </w:rPr>
        <w:t xml:space="preserve"> to arrive at minimum and maximum estimates of the “proportion with infection prior to vaccination”.   </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t xml:space="preserve"> The “proportion with vaccine-induced </w:t>
      </w:r>
      <w:proofErr w:type="spellStart"/>
      <w:r>
        <w:rPr>
          <w:rFonts w:ascii="Calibri" w:hAnsi="Calibri" w:cs="Arial"/>
        </w:rPr>
        <w:t>seropositivity</w:t>
      </w:r>
      <w:proofErr w:type="spellEnd"/>
      <w:r>
        <w:rPr>
          <w:rFonts w:ascii="Calibri" w:hAnsi="Calibri" w:cs="Arial"/>
        </w:rPr>
        <w:t xml:space="preserve"> not infected prior to vaccination” (</w:t>
      </w:r>
      <w:r>
        <w:rPr>
          <w:rFonts w:ascii="Calibri" w:hAnsi="Calibri" w:cs="Arial"/>
          <w:b/>
        </w:rPr>
        <w:t>column F</w:t>
      </w:r>
      <w:r>
        <w:rPr>
          <w:rFonts w:ascii="Calibri" w:hAnsi="Calibri" w:cs="Arial"/>
        </w:rPr>
        <w:t>) was calculated by subtracting the “proportion with infection prior to vaccination” (</w:t>
      </w:r>
      <w:r>
        <w:rPr>
          <w:rFonts w:ascii="Calibri" w:hAnsi="Calibri" w:cs="Arial"/>
          <w:b/>
        </w:rPr>
        <w:t>column E</w:t>
      </w:r>
      <w:r>
        <w:rPr>
          <w:rFonts w:ascii="Calibri" w:hAnsi="Calibri" w:cs="Arial"/>
        </w:rPr>
        <w:t xml:space="preserve">) from the “proportion with vaccine-induced </w:t>
      </w:r>
      <w:proofErr w:type="spellStart"/>
      <w:r>
        <w:rPr>
          <w:rFonts w:ascii="Calibri" w:hAnsi="Calibri" w:cs="Arial"/>
        </w:rPr>
        <w:t>seropositivity</w:t>
      </w:r>
      <w:proofErr w:type="spellEnd"/>
      <w:r>
        <w:rPr>
          <w:rFonts w:ascii="Calibri" w:hAnsi="Calibri" w:cs="Arial"/>
        </w:rPr>
        <w:t>” (</w:t>
      </w:r>
      <w:r>
        <w:rPr>
          <w:rFonts w:ascii="Calibri" w:hAnsi="Calibri" w:cs="Arial"/>
          <w:b/>
        </w:rPr>
        <w:t>column C</w:t>
      </w:r>
      <w:r>
        <w:rPr>
          <w:rFonts w:ascii="Calibri" w:hAnsi="Calibri" w:cs="Arial"/>
        </w:rPr>
        <w:t xml:space="preserve">).  We calculated a maximum around this estimate by subtracting the minimum value of the “proportion with infection prior to vaccination” from the “proportion with vaccine-induced </w:t>
      </w:r>
      <w:proofErr w:type="spellStart"/>
      <w:proofErr w:type="gramStart"/>
      <w:r>
        <w:rPr>
          <w:rFonts w:ascii="Calibri" w:hAnsi="Calibri" w:cs="Arial"/>
        </w:rPr>
        <w:t>seropositivity</w:t>
      </w:r>
      <w:proofErr w:type="spellEnd"/>
      <w:r>
        <w:rPr>
          <w:rFonts w:ascii="Calibri" w:hAnsi="Calibri" w:cs="Arial"/>
        </w:rPr>
        <w:t xml:space="preserve"> ”</w:t>
      </w:r>
      <w:proofErr w:type="gramEnd"/>
      <w:r>
        <w:rPr>
          <w:rFonts w:ascii="Calibri" w:hAnsi="Calibri" w:cs="Arial"/>
        </w:rPr>
        <w:t xml:space="preserve"> </w:t>
      </w:r>
      <w:r>
        <w:rPr>
          <w:rFonts w:ascii="Calibri" w:hAnsi="Calibri" w:cs="Arial"/>
        </w:rPr>
        <w:lastRenderedPageBreak/>
        <w:t>(</w:t>
      </w:r>
      <w:r>
        <w:rPr>
          <w:rFonts w:ascii="Calibri" w:hAnsi="Calibri" w:cs="Arial"/>
          <w:b/>
        </w:rPr>
        <w:t>column C</w:t>
      </w:r>
      <w:r>
        <w:rPr>
          <w:rFonts w:ascii="Calibri" w:hAnsi="Calibri" w:cs="Arial"/>
        </w:rPr>
        <w:t xml:space="preserve">).  Likewise we calculated a minimum around the estimate by subtracting the maximum value of the “proportion with infection prior to vaccination” from the “proportion with vaccine-induced </w:t>
      </w:r>
      <w:proofErr w:type="spellStart"/>
      <w:r>
        <w:rPr>
          <w:rFonts w:ascii="Calibri" w:hAnsi="Calibri" w:cs="Arial"/>
        </w:rPr>
        <w:t>seropositivity</w:t>
      </w:r>
      <w:proofErr w:type="spellEnd"/>
      <w:r>
        <w:rPr>
          <w:rFonts w:ascii="Calibri" w:hAnsi="Calibri" w:cs="Arial"/>
        </w:rPr>
        <w:t>” (</w:t>
      </w:r>
      <w:r>
        <w:rPr>
          <w:rFonts w:ascii="Calibri" w:hAnsi="Calibri" w:cs="Arial"/>
          <w:b/>
        </w:rPr>
        <w:t>column C</w:t>
      </w:r>
      <w:r>
        <w:rPr>
          <w:rFonts w:ascii="Calibri" w:hAnsi="Calibri" w:cs="Arial"/>
        </w:rPr>
        <w:t xml:space="preserve">).  </w:t>
      </w:r>
    </w:p>
    <w:p w:rsidR="00097744" w:rsidRDefault="00097744" w:rsidP="00097744">
      <w:pPr>
        <w:spacing w:line="480" w:lineRule="auto"/>
        <w:rPr>
          <w:rFonts w:ascii="Calibri" w:hAnsi="Calibri" w:cs="Arial"/>
        </w:rPr>
      </w:pPr>
    </w:p>
    <w:p w:rsidR="00097744" w:rsidRDefault="00097744" w:rsidP="00097744">
      <w:pPr>
        <w:spacing w:line="480" w:lineRule="auto"/>
        <w:rPr>
          <w:rFonts w:ascii="Calibri" w:hAnsi="Calibri" w:cs="Arial"/>
        </w:rPr>
      </w:pPr>
      <w:r>
        <w:rPr>
          <w:rFonts w:ascii="Calibri" w:hAnsi="Calibri" w:cs="Arial"/>
        </w:rPr>
        <w:t>We calculated the “proportion infected with pH1N1 virus” (</w:t>
      </w:r>
      <w:r>
        <w:rPr>
          <w:rFonts w:ascii="Calibri" w:hAnsi="Calibri" w:cs="Arial"/>
          <w:b/>
        </w:rPr>
        <w:t>column G</w:t>
      </w:r>
      <w:r>
        <w:rPr>
          <w:rFonts w:ascii="Calibri" w:hAnsi="Calibri" w:cs="Arial"/>
        </w:rPr>
        <w:t xml:space="preserve">) by subtracting the “proportion with vaccine-induced </w:t>
      </w:r>
      <w:proofErr w:type="spellStart"/>
      <w:r>
        <w:rPr>
          <w:rFonts w:ascii="Calibri" w:hAnsi="Calibri" w:cs="Arial"/>
        </w:rPr>
        <w:t>seropositivity</w:t>
      </w:r>
      <w:proofErr w:type="spellEnd"/>
      <w:r>
        <w:rPr>
          <w:rFonts w:ascii="Calibri" w:hAnsi="Calibri" w:cs="Arial"/>
        </w:rPr>
        <w:t xml:space="preserve"> not infected prior to vaccination” (</w:t>
      </w:r>
      <w:r>
        <w:rPr>
          <w:rFonts w:ascii="Calibri" w:hAnsi="Calibri" w:cs="Arial"/>
          <w:b/>
        </w:rPr>
        <w:t>column F</w:t>
      </w:r>
      <w:r>
        <w:rPr>
          <w:rFonts w:ascii="Calibri" w:hAnsi="Calibri" w:cs="Arial"/>
        </w:rPr>
        <w:t xml:space="preserve">) from the overall assay-adjusted </w:t>
      </w:r>
      <w:proofErr w:type="spellStart"/>
      <w:r>
        <w:rPr>
          <w:rFonts w:ascii="Calibri" w:hAnsi="Calibri" w:cs="Arial"/>
        </w:rPr>
        <w:t>seroprevalence</w:t>
      </w:r>
      <w:proofErr w:type="spellEnd"/>
      <w:r>
        <w:rPr>
          <w:rFonts w:ascii="Calibri" w:hAnsi="Calibri" w:cs="Arial"/>
        </w:rPr>
        <w:t xml:space="preserve"> (</w:t>
      </w:r>
      <w:r>
        <w:rPr>
          <w:rFonts w:ascii="Calibri" w:hAnsi="Calibri" w:cs="Arial"/>
          <w:b/>
        </w:rPr>
        <w:t>column D</w:t>
      </w:r>
      <w:r>
        <w:rPr>
          <w:rFonts w:ascii="Calibri" w:hAnsi="Calibri" w:cs="Arial"/>
        </w:rPr>
        <w:t xml:space="preserve">).  We calculated a maximum around this estimate by subtracting the minimum value of the “proportion with vaccine-induced </w:t>
      </w:r>
      <w:proofErr w:type="spellStart"/>
      <w:r>
        <w:rPr>
          <w:rFonts w:ascii="Calibri" w:hAnsi="Calibri" w:cs="Arial"/>
        </w:rPr>
        <w:t>seropositivity</w:t>
      </w:r>
      <w:proofErr w:type="spellEnd"/>
      <w:r>
        <w:rPr>
          <w:rFonts w:ascii="Calibri" w:hAnsi="Calibri" w:cs="Arial"/>
        </w:rPr>
        <w:t xml:space="preserve"> not infected prior to vaccination” from the upper confidence interval of the assay-adjusted </w:t>
      </w:r>
      <w:proofErr w:type="spellStart"/>
      <w:r>
        <w:rPr>
          <w:rFonts w:ascii="Calibri" w:hAnsi="Calibri" w:cs="Arial"/>
        </w:rPr>
        <w:t>seroprevalence</w:t>
      </w:r>
      <w:proofErr w:type="spellEnd"/>
      <w:r>
        <w:rPr>
          <w:rFonts w:ascii="Calibri" w:hAnsi="Calibri" w:cs="Arial"/>
        </w:rPr>
        <w:t xml:space="preserve">.  A minimum was calculated by subtracting the maximum value of the “proportion with vaccine-induced </w:t>
      </w:r>
      <w:proofErr w:type="spellStart"/>
      <w:r>
        <w:rPr>
          <w:rFonts w:ascii="Calibri" w:hAnsi="Calibri" w:cs="Arial"/>
        </w:rPr>
        <w:t>seropositivity</w:t>
      </w:r>
      <w:proofErr w:type="spellEnd"/>
      <w:r>
        <w:rPr>
          <w:rFonts w:ascii="Calibri" w:hAnsi="Calibri" w:cs="Arial"/>
        </w:rPr>
        <w:t xml:space="preserve"> not infected prior to vaccination” from the lower confidence interval of the assay-adjusted </w:t>
      </w:r>
      <w:proofErr w:type="spellStart"/>
      <w:r>
        <w:rPr>
          <w:rFonts w:ascii="Calibri" w:hAnsi="Calibri" w:cs="Arial"/>
        </w:rPr>
        <w:t>seroprevalence</w:t>
      </w:r>
      <w:proofErr w:type="spellEnd"/>
      <w:r>
        <w:rPr>
          <w:rFonts w:ascii="Calibri" w:hAnsi="Calibri" w:cs="Arial"/>
        </w:rPr>
        <w:t xml:space="preserve">.  </w:t>
      </w:r>
    </w:p>
    <w:p w:rsidR="001C77BE" w:rsidRDefault="00A9119B"/>
    <w:sectPr w:rsidR="001C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44"/>
    <w:rsid w:val="00097744"/>
    <w:rsid w:val="006E3D22"/>
    <w:rsid w:val="007F011A"/>
    <w:rsid w:val="00A9119B"/>
    <w:rsid w:val="00F30686"/>
    <w:rsid w:val="00FA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c.gov\private\M130\cyv5\Influenza\Domestic\Florida\Manuscript\PLOS%20Submission\Revision%20Submission%2011-18-11\Florida%20Seroprevalence%20Study_clean.docx" TargetMode="External"/><Relationship Id="rId3" Type="http://schemas.openxmlformats.org/officeDocument/2006/relationships/settings" Target="settings.xml"/><Relationship Id="rId7" Type="http://schemas.openxmlformats.org/officeDocument/2006/relationships/hyperlink" Target="file:///\\cdc.gov\private\M130\cyv5\Influenza\Domestic\Florida\Manuscript\PLOS%20Submission\Revision%20Submission%2011-18-11\Florida%20Seroprevalence%20Study_clean.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c.gov\private\M130\cyv5\Influenza\Domestic\Florida\Manuscript\PLOS%20Submission\Revision%20Submission%2011-18-11\Florida%20Seroprevalence%20Study_clean.docx" TargetMode="External"/><Relationship Id="rId5" Type="http://schemas.openxmlformats.org/officeDocument/2006/relationships/hyperlink" Target="file:///\\cdc.gov\private\M130\cyv5\Influenza\Domestic\Florida\Manuscript\PLOS%20Submission\Revision%20Submission%2011-18-11\Florida%20Seroprevalence%20Study_clea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2011-12-01T14:04:00Z</dcterms:created>
  <dcterms:modified xsi:type="dcterms:W3CDTF">2011-12-01T14:30:00Z</dcterms:modified>
</cp:coreProperties>
</file>