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1368"/>
        <w:gridCol w:w="810"/>
        <w:gridCol w:w="1710"/>
        <w:gridCol w:w="1350"/>
        <w:gridCol w:w="1710"/>
        <w:gridCol w:w="1260"/>
        <w:gridCol w:w="1620"/>
      </w:tblGrid>
      <w:tr w:rsidR="00BE7A13" w:rsidRPr="00B578AD" w:rsidTr="00BE7A13">
        <w:trPr>
          <w:cantSplit/>
          <w:trHeight w:val="723"/>
          <w:tblHeader/>
        </w:trPr>
        <w:tc>
          <w:tcPr>
            <w:tcW w:w="1368" w:type="dxa"/>
            <w:tcBorders>
              <w:top w:val="single" w:sz="4" w:space="0" w:color="auto"/>
              <w:left w:val="nil"/>
              <w:bottom w:val="single" w:sz="4" w:space="0" w:color="auto"/>
              <w:right w:val="nil"/>
            </w:tcBorders>
            <w:vAlign w:val="center"/>
          </w:tcPr>
          <w:p w:rsidR="00BE7A13" w:rsidRPr="00B578AD" w:rsidRDefault="00BE7A13" w:rsidP="00BE7A13">
            <w:pPr>
              <w:rPr>
                <w:rFonts w:ascii="Times New Roman" w:hAnsi="Times New Roman" w:cs="Times New Roman"/>
                <w:b/>
                <w:sz w:val="16"/>
                <w:szCs w:val="16"/>
              </w:rPr>
            </w:pPr>
            <w:r w:rsidRPr="00B578AD">
              <w:rPr>
                <w:rFonts w:ascii="Times New Roman" w:hAnsi="Times New Roman" w:cs="Times New Roman"/>
                <w:b/>
                <w:sz w:val="16"/>
                <w:szCs w:val="16"/>
              </w:rPr>
              <w:t>Study</w:t>
            </w:r>
          </w:p>
        </w:tc>
        <w:tc>
          <w:tcPr>
            <w:tcW w:w="810" w:type="dxa"/>
            <w:tcBorders>
              <w:top w:val="single" w:sz="4" w:space="0" w:color="auto"/>
              <w:left w:val="nil"/>
              <w:bottom w:val="single" w:sz="4" w:space="0" w:color="auto"/>
              <w:right w:val="nil"/>
            </w:tcBorders>
            <w:vAlign w:val="center"/>
          </w:tcPr>
          <w:p w:rsidR="00BE7A13" w:rsidRPr="00B578AD" w:rsidRDefault="00BE7A13" w:rsidP="00BE7A13">
            <w:pPr>
              <w:rPr>
                <w:rFonts w:ascii="Times New Roman" w:hAnsi="Times New Roman" w:cs="Times New Roman"/>
                <w:b/>
                <w:sz w:val="16"/>
                <w:szCs w:val="16"/>
              </w:rPr>
            </w:pPr>
            <w:r w:rsidRPr="00B578AD">
              <w:rPr>
                <w:rFonts w:ascii="Times New Roman" w:hAnsi="Times New Roman" w:cs="Times New Roman"/>
                <w:b/>
                <w:sz w:val="16"/>
                <w:szCs w:val="16"/>
              </w:rPr>
              <w:t>Year</w:t>
            </w:r>
          </w:p>
        </w:tc>
        <w:tc>
          <w:tcPr>
            <w:tcW w:w="1710" w:type="dxa"/>
            <w:tcBorders>
              <w:top w:val="single" w:sz="4" w:space="0" w:color="auto"/>
              <w:left w:val="nil"/>
              <w:bottom w:val="single" w:sz="4" w:space="0" w:color="auto"/>
              <w:right w:val="nil"/>
            </w:tcBorders>
            <w:vAlign w:val="center"/>
          </w:tcPr>
          <w:p w:rsidR="00BE7A13" w:rsidRPr="00B578AD" w:rsidRDefault="00BE7A13" w:rsidP="00BE7A13">
            <w:pPr>
              <w:rPr>
                <w:rFonts w:ascii="Times New Roman" w:hAnsi="Times New Roman" w:cs="Times New Roman"/>
                <w:b/>
                <w:sz w:val="16"/>
                <w:szCs w:val="16"/>
                <w:vertAlign w:val="superscript"/>
              </w:rPr>
            </w:pPr>
            <w:r w:rsidRPr="00B578AD">
              <w:rPr>
                <w:rFonts w:ascii="Times New Roman" w:hAnsi="Times New Roman" w:cs="Times New Roman"/>
                <w:b/>
                <w:sz w:val="16"/>
                <w:szCs w:val="16"/>
              </w:rPr>
              <w:t>Chanc</w:t>
            </w:r>
            <w:r>
              <w:rPr>
                <w:rFonts w:ascii="Times New Roman" w:hAnsi="Times New Roman" w:cs="Times New Roman"/>
                <w:b/>
                <w:sz w:val="16"/>
                <w:szCs w:val="16"/>
              </w:rPr>
              <w:t>e of Ascertainment Bias</w:t>
            </w:r>
            <w:r w:rsidRPr="00B578AD">
              <w:rPr>
                <w:rFonts w:ascii="Times New Roman" w:hAnsi="Times New Roman" w:cs="Times New Roman"/>
                <w:b/>
                <w:sz w:val="16"/>
                <w:szCs w:val="16"/>
                <w:vertAlign w:val="superscript"/>
              </w:rPr>
              <w:t>1</w:t>
            </w:r>
          </w:p>
        </w:tc>
        <w:tc>
          <w:tcPr>
            <w:tcW w:w="1350" w:type="dxa"/>
            <w:tcBorders>
              <w:top w:val="single" w:sz="4" w:space="0" w:color="auto"/>
              <w:left w:val="nil"/>
              <w:bottom w:val="single" w:sz="4" w:space="0" w:color="auto"/>
              <w:right w:val="nil"/>
            </w:tcBorders>
            <w:vAlign w:val="center"/>
          </w:tcPr>
          <w:p w:rsidR="00BE7A13" w:rsidRPr="00B578AD" w:rsidRDefault="00BE7A13" w:rsidP="00BE7A13">
            <w:pPr>
              <w:rPr>
                <w:rFonts w:ascii="Times New Roman" w:hAnsi="Times New Roman" w:cs="Times New Roman"/>
                <w:b/>
                <w:sz w:val="16"/>
                <w:szCs w:val="16"/>
                <w:vertAlign w:val="superscript"/>
              </w:rPr>
            </w:pPr>
            <w:r>
              <w:rPr>
                <w:rFonts w:ascii="Times New Roman" w:hAnsi="Times New Roman" w:cs="Times New Roman"/>
                <w:b/>
                <w:sz w:val="16"/>
                <w:szCs w:val="16"/>
              </w:rPr>
              <w:t>Disclosure of Prophylaxis</w:t>
            </w:r>
            <w:r w:rsidRPr="00B578AD">
              <w:rPr>
                <w:rFonts w:ascii="Times New Roman" w:hAnsi="Times New Roman" w:cs="Times New Roman"/>
                <w:b/>
                <w:sz w:val="16"/>
                <w:szCs w:val="16"/>
                <w:vertAlign w:val="superscript"/>
              </w:rPr>
              <w:t>2</w:t>
            </w:r>
          </w:p>
        </w:tc>
        <w:tc>
          <w:tcPr>
            <w:tcW w:w="1710" w:type="dxa"/>
            <w:tcBorders>
              <w:top w:val="single" w:sz="4" w:space="0" w:color="auto"/>
              <w:left w:val="nil"/>
              <w:bottom w:val="single" w:sz="4" w:space="0" w:color="auto"/>
              <w:right w:val="nil"/>
            </w:tcBorders>
            <w:vAlign w:val="center"/>
          </w:tcPr>
          <w:p w:rsidR="00BE7A13" w:rsidRPr="00B578AD" w:rsidRDefault="00BE7A13" w:rsidP="00BE7A13">
            <w:pPr>
              <w:rPr>
                <w:rFonts w:ascii="Times New Roman" w:hAnsi="Times New Roman" w:cs="Times New Roman"/>
                <w:b/>
                <w:sz w:val="16"/>
                <w:szCs w:val="16"/>
                <w:vertAlign w:val="superscript"/>
              </w:rPr>
            </w:pPr>
            <w:r>
              <w:rPr>
                <w:rFonts w:ascii="Times New Roman" w:hAnsi="Times New Roman" w:cs="Times New Roman"/>
                <w:b/>
                <w:sz w:val="16"/>
                <w:szCs w:val="16"/>
              </w:rPr>
              <w:t>Mention of Adherence</w:t>
            </w:r>
            <w:r w:rsidRPr="00B578AD">
              <w:rPr>
                <w:rFonts w:ascii="Times New Roman" w:hAnsi="Times New Roman" w:cs="Times New Roman"/>
                <w:b/>
                <w:sz w:val="16"/>
                <w:szCs w:val="16"/>
                <w:vertAlign w:val="superscript"/>
              </w:rPr>
              <w:t>3</w:t>
            </w:r>
          </w:p>
        </w:tc>
        <w:tc>
          <w:tcPr>
            <w:tcW w:w="1260" w:type="dxa"/>
            <w:tcBorders>
              <w:top w:val="single" w:sz="4" w:space="0" w:color="auto"/>
              <w:left w:val="nil"/>
              <w:bottom w:val="single" w:sz="4" w:space="0" w:color="auto"/>
              <w:right w:val="nil"/>
            </w:tcBorders>
            <w:vAlign w:val="center"/>
          </w:tcPr>
          <w:p w:rsidR="00BE7A13" w:rsidRPr="00B578AD" w:rsidRDefault="00BE7A13" w:rsidP="00BE7A13">
            <w:pPr>
              <w:rPr>
                <w:rFonts w:ascii="Times New Roman" w:hAnsi="Times New Roman" w:cs="Times New Roman"/>
                <w:b/>
                <w:sz w:val="16"/>
                <w:szCs w:val="16"/>
                <w:vertAlign w:val="superscript"/>
              </w:rPr>
            </w:pPr>
            <w:r>
              <w:rPr>
                <w:rFonts w:ascii="Times New Roman" w:hAnsi="Times New Roman" w:cs="Times New Roman"/>
                <w:b/>
                <w:sz w:val="16"/>
                <w:szCs w:val="16"/>
              </w:rPr>
              <w:t>Confounder Control</w:t>
            </w:r>
            <w:r w:rsidRPr="00B578AD">
              <w:rPr>
                <w:rFonts w:ascii="Times New Roman" w:hAnsi="Times New Roman" w:cs="Times New Roman"/>
                <w:b/>
                <w:sz w:val="16"/>
                <w:szCs w:val="16"/>
                <w:vertAlign w:val="superscript"/>
              </w:rPr>
              <w:t>4</w:t>
            </w:r>
          </w:p>
        </w:tc>
        <w:tc>
          <w:tcPr>
            <w:tcW w:w="1620" w:type="dxa"/>
            <w:tcBorders>
              <w:top w:val="single" w:sz="4" w:space="0" w:color="auto"/>
              <w:left w:val="nil"/>
              <w:bottom w:val="single" w:sz="4" w:space="0" w:color="auto"/>
              <w:right w:val="nil"/>
            </w:tcBorders>
            <w:vAlign w:val="center"/>
          </w:tcPr>
          <w:p w:rsidR="00BE7A13" w:rsidRPr="00B578AD" w:rsidRDefault="00BE7A13" w:rsidP="00BE7A13">
            <w:pPr>
              <w:rPr>
                <w:rFonts w:ascii="Times New Roman" w:hAnsi="Times New Roman" w:cs="Times New Roman"/>
                <w:b/>
                <w:sz w:val="16"/>
                <w:szCs w:val="16"/>
              </w:rPr>
            </w:pPr>
            <w:r>
              <w:rPr>
                <w:rFonts w:ascii="Times New Roman" w:hAnsi="Times New Roman" w:cs="Times New Roman"/>
                <w:b/>
                <w:sz w:val="16"/>
                <w:szCs w:val="16"/>
              </w:rPr>
              <w:t>Accounting  for Loss to Follow–up</w:t>
            </w:r>
            <w:r w:rsidRPr="00B578AD">
              <w:rPr>
                <w:rFonts w:ascii="Times New Roman" w:hAnsi="Times New Roman" w:cs="Times New Roman"/>
                <w:b/>
                <w:sz w:val="16"/>
                <w:szCs w:val="16"/>
                <w:vertAlign w:val="superscript"/>
              </w:rPr>
              <w:t>5</w:t>
            </w:r>
          </w:p>
        </w:tc>
      </w:tr>
      <w:tr w:rsidR="00BE7A13" w:rsidRPr="00B578AD" w:rsidTr="00BE7A13">
        <w:trPr>
          <w:trHeight w:val="288"/>
          <w:tblHeader/>
        </w:trPr>
        <w:tc>
          <w:tcPr>
            <w:tcW w:w="2178" w:type="dxa"/>
            <w:gridSpan w:val="2"/>
            <w:tcBorders>
              <w:top w:val="single" w:sz="4" w:space="0" w:color="auto"/>
              <w:left w:val="nil"/>
              <w:bottom w:val="nil"/>
              <w:right w:val="nil"/>
            </w:tcBorders>
          </w:tcPr>
          <w:p w:rsidR="00BE7A13" w:rsidRPr="00B578AD" w:rsidRDefault="00BE7A13" w:rsidP="00BE7A13">
            <w:pPr>
              <w:rPr>
                <w:rFonts w:ascii="Times New Roman" w:hAnsi="Times New Roman" w:cs="Times New Roman"/>
                <w:b/>
                <w:sz w:val="16"/>
                <w:szCs w:val="16"/>
              </w:rPr>
            </w:pPr>
            <w:r w:rsidRPr="00B578AD">
              <w:rPr>
                <w:rFonts w:ascii="Times New Roman" w:hAnsi="Times New Roman" w:cs="Times New Roman"/>
                <w:b/>
                <w:sz w:val="16"/>
                <w:szCs w:val="16"/>
              </w:rPr>
              <w:t>Sub-</w:t>
            </w:r>
            <w:proofErr w:type="spellStart"/>
            <w:r w:rsidRPr="00B578AD">
              <w:rPr>
                <w:rFonts w:ascii="Times New Roman" w:hAnsi="Times New Roman" w:cs="Times New Roman"/>
                <w:b/>
                <w:sz w:val="16"/>
                <w:szCs w:val="16"/>
              </w:rPr>
              <w:t>SaharanAfrica</w:t>
            </w:r>
            <w:proofErr w:type="spellEnd"/>
          </w:p>
        </w:tc>
        <w:tc>
          <w:tcPr>
            <w:tcW w:w="1710" w:type="dxa"/>
            <w:tcBorders>
              <w:top w:val="single" w:sz="4" w:space="0" w:color="auto"/>
              <w:left w:val="nil"/>
              <w:bottom w:val="nil"/>
              <w:right w:val="nil"/>
            </w:tcBorders>
          </w:tcPr>
          <w:p w:rsidR="00BE7A13" w:rsidRPr="00B578AD" w:rsidRDefault="00BE7A13" w:rsidP="00BE7A13">
            <w:pPr>
              <w:rPr>
                <w:rFonts w:ascii="Times New Roman" w:hAnsi="Times New Roman" w:cs="Times New Roman"/>
                <w:b/>
                <w:sz w:val="16"/>
                <w:szCs w:val="16"/>
              </w:rPr>
            </w:pPr>
          </w:p>
        </w:tc>
        <w:tc>
          <w:tcPr>
            <w:tcW w:w="1350" w:type="dxa"/>
            <w:tcBorders>
              <w:top w:val="single" w:sz="4" w:space="0" w:color="auto"/>
              <w:left w:val="nil"/>
              <w:bottom w:val="nil"/>
              <w:right w:val="nil"/>
            </w:tcBorders>
          </w:tcPr>
          <w:p w:rsidR="00BE7A13" w:rsidRPr="00B578AD" w:rsidRDefault="00BE7A13" w:rsidP="00BE7A13">
            <w:pPr>
              <w:rPr>
                <w:rFonts w:ascii="Times New Roman" w:hAnsi="Times New Roman" w:cs="Times New Roman"/>
                <w:b/>
                <w:sz w:val="16"/>
                <w:szCs w:val="16"/>
              </w:rPr>
            </w:pPr>
          </w:p>
        </w:tc>
        <w:tc>
          <w:tcPr>
            <w:tcW w:w="1710" w:type="dxa"/>
            <w:tcBorders>
              <w:top w:val="single" w:sz="4" w:space="0" w:color="auto"/>
              <w:left w:val="nil"/>
              <w:bottom w:val="nil"/>
              <w:right w:val="nil"/>
            </w:tcBorders>
          </w:tcPr>
          <w:p w:rsidR="00BE7A13" w:rsidRPr="00B578AD" w:rsidRDefault="00BE7A13" w:rsidP="00BE7A13">
            <w:pPr>
              <w:rPr>
                <w:rFonts w:ascii="Times New Roman" w:hAnsi="Times New Roman" w:cs="Times New Roman"/>
                <w:b/>
                <w:sz w:val="16"/>
                <w:szCs w:val="16"/>
              </w:rPr>
            </w:pPr>
          </w:p>
        </w:tc>
        <w:tc>
          <w:tcPr>
            <w:tcW w:w="1260" w:type="dxa"/>
            <w:tcBorders>
              <w:top w:val="single" w:sz="4" w:space="0" w:color="auto"/>
              <w:left w:val="nil"/>
              <w:bottom w:val="nil"/>
              <w:right w:val="nil"/>
            </w:tcBorders>
          </w:tcPr>
          <w:p w:rsidR="00BE7A13" w:rsidRPr="00B578AD" w:rsidRDefault="00BE7A13" w:rsidP="00BE7A13">
            <w:pPr>
              <w:rPr>
                <w:rFonts w:ascii="Times New Roman" w:hAnsi="Times New Roman" w:cs="Times New Roman"/>
                <w:b/>
                <w:sz w:val="16"/>
                <w:szCs w:val="16"/>
              </w:rPr>
            </w:pPr>
          </w:p>
        </w:tc>
        <w:tc>
          <w:tcPr>
            <w:tcW w:w="1620" w:type="dxa"/>
            <w:tcBorders>
              <w:top w:val="single" w:sz="4" w:space="0" w:color="auto"/>
              <w:left w:val="nil"/>
              <w:bottom w:val="nil"/>
              <w:right w:val="nil"/>
            </w:tcBorders>
          </w:tcPr>
          <w:p w:rsidR="00BE7A13" w:rsidRPr="00B578AD" w:rsidRDefault="00BE7A13" w:rsidP="00BE7A13">
            <w:pPr>
              <w:rPr>
                <w:rFonts w:ascii="Times New Roman" w:hAnsi="Times New Roman" w:cs="Times New Roman"/>
                <w:b/>
                <w:sz w:val="16"/>
                <w:szCs w:val="16"/>
              </w:rPr>
            </w:pPr>
          </w:p>
        </w:tc>
      </w:tr>
      <w:tr w:rsidR="00BE7A13" w:rsidRPr="00B578AD" w:rsidTr="00BE7A13">
        <w:trPr>
          <w:trHeight w:val="303"/>
          <w:tblHeader/>
        </w:trPr>
        <w:tc>
          <w:tcPr>
            <w:tcW w:w="1368" w:type="dxa"/>
            <w:tcBorders>
              <w:top w:val="nil"/>
              <w:left w:val="nil"/>
              <w:bottom w:val="nil"/>
              <w:right w:val="nil"/>
            </w:tcBorders>
            <w:shd w:val="clear" w:color="auto" w:fill="auto"/>
          </w:tcPr>
          <w:p w:rsidR="00BE7A13" w:rsidRPr="00B578AD"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Alemu</w:t>
            </w:r>
            <w:proofErr w:type="spellEnd"/>
          </w:p>
        </w:tc>
        <w:tc>
          <w:tcPr>
            <w:tcW w:w="8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2010</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Moderate</w:t>
            </w:r>
          </w:p>
        </w:tc>
        <w:tc>
          <w:tcPr>
            <w:tcW w:w="135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26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62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r>
      <w:tr w:rsidR="00BE7A13" w:rsidRPr="00B578AD" w:rsidTr="00BE7A13">
        <w:trPr>
          <w:trHeight w:val="303"/>
          <w:tblHeader/>
        </w:trPr>
        <w:tc>
          <w:tcPr>
            <w:tcW w:w="1368" w:type="dxa"/>
            <w:tcBorders>
              <w:top w:val="nil"/>
              <w:left w:val="nil"/>
              <w:bottom w:val="nil"/>
              <w:right w:val="nil"/>
            </w:tcBorders>
            <w:shd w:val="clear" w:color="auto" w:fill="auto"/>
          </w:tcPr>
          <w:p w:rsidR="00BE7A13" w:rsidRPr="00B578AD"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Alibhai</w:t>
            </w:r>
            <w:proofErr w:type="spellEnd"/>
          </w:p>
        </w:tc>
        <w:tc>
          <w:tcPr>
            <w:tcW w:w="8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2010</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Moderate</w:t>
            </w:r>
          </w:p>
        </w:tc>
        <w:tc>
          <w:tcPr>
            <w:tcW w:w="135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26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62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r>
      <w:tr w:rsidR="00BE7A13" w:rsidRPr="00B578AD" w:rsidTr="00BE7A13">
        <w:trPr>
          <w:trHeight w:val="303"/>
          <w:tblHeader/>
        </w:trPr>
        <w:tc>
          <w:tcPr>
            <w:tcW w:w="1368"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roofErr w:type="spellStart"/>
            <w:r w:rsidRPr="00B578AD">
              <w:rPr>
                <w:rFonts w:ascii="Times New Roman" w:eastAsia="Times New Roman" w:hAnsi="Times New Roman" w:cs="Times New Roman"/>
                <w:sz w:val="16"/>
                <w:szCs w:val="16"/>
              </w:rPr>
              <w:t>Palombi</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2009</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p w:rsidR="00BE7A13" w:rsidRPr="00B578AD" w:rsidRDefault="00BE7A13" w:rsidP="00BE7A13">
            <w:pPr>
              <w:rPr>
                <w:rFonts w:ascii="Times New Roman" w:hAnsi="Times New Roman" w:cs="Times New Roman"/>
                <w:sz w:val="16"/>
                <w:szCs w:val="16"/>
              </w:rPr>
            </w:pPr>
          </w:p>
        </w:tc>
      </w:tr>
      <w:tr w:rsidR="00BE7A13" w:rsidRPr="00B578AD" w:rsidTr="00BE7A13">
        <w:trPr>
          <w:trHeight w:val="288"/>
          <w:tblHeader/>
        </w:trPr>
        <w:tc>
          <w:tcPr>
            <w:tcW w:w="1368" w:type="dxa"/>
            <w:tcBorders>
              <w:top w:val="nil"/>
              <w:left w:val="nil"/>
              <w:bottom w:val="nil"/>
              <w:right w:val="nil"/>
            </w:tcBorders>
            <w:shd w:val="clear" w:color="auto" w:fill="auto"/>
          </w:tcPr>
          <w:p w:rsidR="00BE7A13"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Rougement</w:t>
            </w:r>
            <w:proofErr w:type="spellEnd"/>
          </w:p>
        </w:tc>
        <w:tc>
          <w:tcPr>
            <w:tcW w:w="8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2009</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Moderate</w:t>
            </w:r>
          </w:p>
        </w:tc>
        <w:tc>
          <w:tcPr>
            <w:tcW w:w="135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26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62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shd w:val="clear" w:color="auto" w:fill="auto"/>
          </w:tcPr>
          <w:p w:rsidR="00BE7A13"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Sanne</w:t>
            </w:r>
            <w:proofErr w:type="spellEnd"/>
          </w:p>
        </w:tc>
        <w:tc>
          <w:tcPr>
            <w:tcW w:w="8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2009</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Moderate</w:t>
            </w:r>
          </w:p>
        </w:tc>
        <w:tc>
          <w:tcPr>
            <w:tcW w:w="135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26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62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Abaasa</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r w:rsidRPr="00B578AD">
              <w:rPr>
                <w:rFonts w:ascii="Times New Roman" w:eastAsia="Times New Roman" w:hAnsi="Times New Roman" w:cs="Times New Roman"/>
                <w:color w:val="000000"/>
                <w:sz w:val="16"/>
                <w:szCs w:val="16"/>
              </w:rPr>
              <w:t>Banda</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 </w:t>
            </w:r>
            <w:proofErr w:type="spellStart"/>
            <w:r w:rsidRPr="00B578AD">
              <w:rPr>
                <w:rFonts w:ascii="Times New Roman" w:eastAsia="Times New Roman" w:hAnsi="Times New Roman" w:cs="Times New Roman"/>
                <w:sz w:val="16"/>
                <w:szCs w:val="16"/>
              </w:rPr>
              <w:t>Beaudrap</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Bisson</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Boulle</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420"/>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Bussman</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Adherence counseling done</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r w:rsidRPr="00B578AD">
              <w:rPr>
                <w:rFonts w:ascii="Times New Roman" w:eastAsia="Times New Roman" w:hAnsi="Times New Roman" w:cs="Times New Roman"/>
                <w:sz w:val="16"/>
                <w:szCs w:val="16"/>
              </w:rPr>
              <w:t>Hoffmann</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color w:val="000000"/>
                <w:sz w:val="16"/>
                <w:szCs w:val="16"/>
              </w:rPr>
              <w:t>Johannessen</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sidRPr="00B578AD">
              <w:rPr>
                <w:rFonts w:ascii="Times New Roman" w:eastAsia="Times New Roman" w:hAnsi="Times New Roman" w:cs="Times New Roman"/>
                <w:color w:val="000000"/>
                <w:sz w:val="16"/>
                <w:szCs w:val="16"/>
              </w:rPr>
              <w:t>Laurent</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r w:rsidRPr="00B578AD">
              <w:rPr>
                <w:rFonts w:ascii="Times New Roman" w:eastAsia="Times New Roman" w:hAnsi="Times New Roman" w:cs="Times New Roman"/>
                <w:color w:val="000000"/>
                <w:sz w:val="16"/>
                <w:szCs w:val="16"/>
              </w:rPr>
              <w:t>MacPherson</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color w:val="000000"/>
                <w:sz w:val="16"/>
                <w:szCs w:val="16"/>
              </w:rPr>
              <w:t>Marazzi</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sz w:val="16"/>
                <w:szCs w:val="16"/>
              </w:rPr>
              <w:t>Mulenga</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Mzileni</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465"/>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color w:val="000000"/>
                <w:sz w:val="16"/>
                <w:szCs w:val="16"/>
              </w:rPr>
              <w:t>Nakanjako</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vertAlign w:val="superscript"/>
              </w:rPr>
            </w:pPr>
            <w:r>
              <w:rPr>
                <w:rFonts w:ascii="Times New Roman" w:hAnsi="Times New Roman" w:cs="Times New Roman"/>
                <w:sz w:val="16"/>
                <w:szCs w:val="16"/>
              </w:rPr>
              <w:t>Adherence counseling done</w:t>
            </w:r>
            <w:r w:rsidRPr="00B578AD">
              <w:rPr>
                <w:rFonts w:ascii="Times New Roman" w:hAnsi="Times New Roman" w:cs="Times New Roman"/>
                <w:sz w:val="16"/>
                <w:szCs w:val="16"/>
                <w:vertAlign w:val="superscript"/>
              </w:rPr>
              <w:t>6</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Toure</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sidRPr="00B578AD">
              <w:rPr>
                <w:rFonts w:ascii="Times New Roman" w:eastAsia="Times New Roman" w:hAnsi="Times New Roman" w:cs="Times New Roman"/>
                <w:color w:val="000000"/>
                <w:sz w:val="16"/>
                <w:szCs w:val="16"/>
              </w:rPr>
              <w:t>Yu</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High</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420"/>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Karcher</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2007</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Adherence counseling done</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Lowrance</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2007</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 xml:space="preserve">Yes </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Makombe</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2007</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High</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sz w:val="16"/>
                <w:szCs w:val="16"/>
              </w:rPr>
              <w:t>Makombe</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2007</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sz w:val="16"/>
                <w:szCs w:val="16"/>
              </w:rPr>
              <w:t>Bekker</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Adherence counseling done</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Etard</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Ferradini</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Jerene</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High</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r w:rsidRPr="00B578AD">
              <w:rPr>
                <w:rFonts w:ascii="Times New Roman" w:eastAsia="Times New Roman" w:hAnsi="Times New Roman" w:cs="Times New Roman"/>
                <w:color w:val="000000"/>
                <w:sz w:val="16"/>
                <w:szCs w:val="16"/>
              </w:rPr>
              <w:t>Lawn</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sz w:val="16"/>
                <w:szCs w:val="16"/>
              </w:rPr>
              <w:t>Libamba</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420"/>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r w:rsidRPr="00B578AD">
              <w:rPr>
                <w:rFonts w:ascii="Times New Roman" w:eastAsia="Times New Roman" w:hAnsi="Times New Roman" w:cs="Times New Roman"/>
                <w:color w:val="000000"/>
                <w:sz w:val="16"/>
                <w:szCs w:val="16"/>
              </w:rPr>
              <w:t>Stringer</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w:t>
            </w:r>
            <w:r>
              <w:rPr>
                <w:rFonts w:ascii="Times New Roman" w:hAnsi="Times New Roman" w:cs="Times New Roman"/>
                <w:sz w:val="16"/>
                <w:szCs w:val="16"/>
              </w:rPr>
              <w:t>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Adherence counseling done</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Zachariah</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sidRPr="00B578AD">
              <w:rPr>
                <w:rFonts w:ascii="Times New Roman" w:eastAsia="Times New Roman" w:hAnsi="Times New Roman" w:cs="Times New Roman"/>
                <w:color w:val="000000"/>
                <w:sz w:val="16"/>
                <w:szCs w:val="16"/>
              </w:rPr>
              <w:t>Bourgeois</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2005</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Wester</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2005</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Unclear</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402"/>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sidRPr="00B578AD">
              <w:rPr>
                <w:rFonts w:ascii="Times New Roman" w:eastAsia="Times New Roman" w:hAnsi="Times New Roman" w:cs="Times New Roman"/>
                <w:sz w:val="16"/>
                <w:szCs w:val="16"/>
              </w:rPr>
              <w:t>Coetzee</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2004</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Adherence counseling done</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Djomand</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2003</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High</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color w:val="000000"/>
                <w:sz w:val="16"/>
                <w:szCs w:val="16"/>
              </w:rPr>
              <w:t>Weidle</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2002</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p w:rsidR="00E4012E" w:rsidRPr="00B578AD" w:rsidRDefault="00E4012E" w:rsidP="00E4012E">
            <w:pPr>
              <w:rPr>
                <w:rFonts w:ascii="Times New Roman" w:hAnsi="Times New Roman" w:cs="Times New Roman"/>
                <w:sz w:val="16"/>
                <w:szCs w:val="16"/>
              </w:rPr>
            </w:pPr>
          </w:p>
        </w:tc>
      </w:tr>
      <w:tr w:rsidR="00BE7A13" w:rsidRPr="00B578AD" w:rsidTr="00FA0D83">
        <w:trPr>
          <w:cantSplit/>
          <w:trHeight w:val="723"/>
          <w:tblHeader/>
        </w:trPr>
        <w:tc>
          <w:tcPr>
            <w:tcW w:w="1368" w:type="dxa"/>
            <w:tcBorders>
              <w:top w:val="single" w:sz="4" w:space="0" w:color="auto"/>
              <w:left w:val="nil"/>
              <w:bottom w:val="single" w:sz="4" w:space="0" w:color="auto"/>
              <w:right w:val="nil"/>
            </w:tcBorders>
            <w:vAlign w:val="center"/>
          </w:tcPr>
          <w:p w:rsidR="00BE7A13" w:rsidRPr="00B578AD" w:rsidRDefault="00BE7A13" w:rsidP="00FA0D83">
            <w:pPr>
              <w:rPr>
                <w:rFonts w:ascii="Times New Roman" w:hAnsi="Times New Roman" w:cs="Times New Roman"/>
                <w:b/>
                <w:sz w:val="16"/>
                <w:szCs w:val="16"/>
              </w:rPr>
            </w:pPr>
            <w:r w:rsidRPr="00B578AD">
              <w:rPr>
                <w:rFonts w:ascii="Times New Roman" w:hAnsi="Times New Roman" w:cs="Times New Roman"/>
                <w:b/>
                <w:sz w:val="16"/>
                <w:szCs w:val="16"/>
              </w:rPr>
              <w:lastRenderedPageBreak/>
              <w:t>Study</w:t>
            </w:r>
          </w:p>
        </w:tc>
        <w:tc>
          <w:tcPr>
            <w:tcW w:w="810" w:type="dxa"/>
            <w:tcBorders>
              <w:top w:val="single" w:sz="4" w:space="0" w:color="auto"/>
              <w:left w:val="nil"/>
              <w:bottom w:val="single" w:sz="4" w:space="0" w:color="auto"/>
              <w:right w:val="nil"/>
            </w:tcBorders>
            <w:vAlign w:val="center"/>
          </w:tcPr>
          <w:p w:rsidR="00BE7A13" w:rsidRPr="00B578AD" w:rsidRDefault="00BE7A13" w:rsidP="00FA0D83">
            <w:pPr>
              <w:rPr>
                <w:rFonts w:ascii="Times New Roman" w:hAnsi="Times New Roman" w:cs="Times New Roman"/>
                <w:b/>
                <w:sz w:val="16"/>
                <w:szCs w:val="16"/>
              </w:rPr>
            </w:pPr>
            <w:r w:rsidRPr="00B578AD">
              <w:rPr>
                <w:rFonts w:ascii="Times New Roman" w:hAnsi="Times New Roman" w:cs="Times New Roman"/>
                <w:b/>
                <w:sz w:val="16"/>
                <w:szCs w:val="16"/>
              </w:rPr>
              <w:t>Year</w:t>
            </w:r>
          </w:p>
        </w:tc>
        <w:tc>
          <w:tcPr>
            <w:tcW w:w="1710" w:type="dxa"/>
            <w:tcBorders>
              <w:top w:val="single" w:sz="4" w:space="0" w:color="auto"/>
              <w:left w:val="nil"/>
              <w:bottom w:val="single" w:sz="4" w:space="0" w:color="auto"/>
              <w:right w:val="nil"/>
            </w:tcBorders>
            <w:vAlign w:val="center"/>
          </w:tcPr>
          <w:p w:rsidR="00BE7A13" w:rsidRPr="00B578AD" w:rsidRDefault="00BE7A13" w:rsidP="00FA0D83">
            <w:pPr>
              <w:rPr>
                <w:rFonts w:ascii="Times New Roman" w:hAnsi="Times New Roman" w:cs="Times New Roman"/>
                <w:b/>
                <w:sz w:val="16"/>
                <w:szCs w:val="16"/>
                <w:vertAlign w:val="superscript"/>
              </w:rPr>
            </w:pPr>
            <w:r w:rsidRPr="00B578AD">
              <w:rPr>
                <w:rFonts w:ascii="Times New Roman" w:hAnsi="Times New Roman" w:cs="Times New Roman"/>
                <w:b/>
                <w:sz w:val="16"/>
                <w:szCs w:val="16"/>
              </w:rPr>
              <w:t>Chanc</w:t>
            </w:r>
            <w:r>
              <w:rPr>
                <w:rFonts w:ascii="Times New Roman" w:hAnsi="Times New Roman" w:cs="Times New Roman"/>
                <w:b/>
                <w:sz w:val="16"/>
                <w:szCs w:val="16"/>
              </w:rPr>
              <w:t>e of Ascertainment Bias</w:t>
            </w:r>
            <w:r w:rsidRPr="00B578AD">
              <w:rPr>
                <w:rFonts w:ascii="Times New Roman" w:hAnsi="Times New Roman" w:cs="Times New Roman"/>
                <w:b/>
                <w:sz w:val="16"/>
                <w:szCs w:val="16"/>
                <w:vertAlign w:val="superscript"/>
              </w:rPr>
              <w:t>1</w:t>
            </w:r>
          </w:p>
        </w:tc>
        <w:tc>
          <w:tcPr>
            <w:tcW w:w="1350" w:type="dxa"/>
            <w:tcBorders>
              <w:top w:val="single" w:sz="4" w:space="0" w:color="auto"/>
              <w:left w:val="nil"/>
              <w:bottom w:val="single" w:sz="4" w:space="0" w:color="auto"/>
              <w:right w:val="nil"/>
            </w:tcBorders>
            <w:vAlign w:val="center"/>
          </w:tcPr>
          <w:p w:rsidR="00BE7A13" w:rsidRPr="00B578AD" w:rsidRDefault="00BE7A13" w:rsidP="00FA0D83">
            <w:pPr>
              <w:rPr>
                <w:rFonts w:ascii="Times New Roman" w:hAnsi="Times New Roman" w:cs="Times New Roman"/>
                <w:b/>
                <w:sz w:val="16"/>
                <w:szCs w:val="16"/>
                <w:vertAlign w:val="superscript"/>
              </w:rPr>
            </w:pPr>
            <w:r>
              <w:rPr>
                <w:rFonts w:ascii="Times New Roman" w:hAnsi="Times New Roman" w:cs="Times New Roman"/>
                <w:b/>
                <w:sz w:val="16"/>
                <w:szCs w:val="16"/>
              </w:rPr>
              <w:t>Disclosure of Prophylaxis</w:t>
            </w:r>
            <w:r w:rsidRPr="00B578AD">
              <w:rPr>
                <w:rFonts w:ascii="Times New Roman" w:hAnsi="Times New Roman" w:cs="Times New Roman"/>
                <w:b/>
                <w:sz w:val="16"/>
                <w:szCs w:val="16"/>
                <w:vertAlign w:val="superscript"/>
              </w:rPr>
              <w:t>2</w:t>
            </w:r>
          </w:p>
        </w:tc>
        <w:tc>
          <w:tcPr>
            <w:tcW w:w="1710" w:type="dxa"/>
            <w:tcBorders>
              <w:top w:val="single" w:sz="4" w:space="0" w:color="auto"/>
              <w:left w:val="nil"/>
              <w:bottom w:val="single" w:sz="4" w:space="0" w:color="auto"/>
              <w:right w:val="nil"/>
            </w:tcBorders>
            <w:vAlign w:val="center"/>
          </w:tcPr>
          <w:p w:rsidR="00BE7A13" w:rsidRPr="00B578AD" w:rsidRDefault="00BE7A13" w:rsidP="00FA0D83">
            <w:pPr>
              <w:rPr>
                <w:rFonts w:ascii="Times New Roman" w:hAnsi="Times New Roman" w:cs="Times New Roman"/>
                <w:b/>
                <w:sz w:val="16"/>
                <w:szCs w:val="16"/>
                <w:vertAlign w:val="superscript"/>
              </w:rPr>
            </w:pPr>
            <w:r>
              <w:rPr>
                <w:rFonts w:ascii="Times New Roman" w:hAnsi="Times New Roman" w:cs="Times New Roman"/>
                <w:b/>
                <w:sz w:val="16"/>
                <w:szCs w:val="16"/>
              </w:rPr>
              <w:t>Mention of Adherence</w:t>
            </w:r>
            <w:r w:rsidRPr="00B578AD">
              <w:rPr>
                <w:rFonts w:ascii="Times New Roman" w:hAnsi="Times New Roman" w:cs="Times New Roman"/>
                <w:b/>
                <w:sz w:val="16"/>
                <w:szCs w:val="16"/>
                <w:vertAlign w:val="superscript"/>
              </w:rPr>
              <w:t>3</w:t>
            </w:r>
          </w:p>
        </w:tc>
        <w:tc>
          <w:tcPr>
            <w:tcW w:w="1260" w:type="dxa"/>
            <w:tcBorders>
              <w:top w:val="single" w:sz="4" w:space="0" w:color="auto"/>
              <w:left w:val="nil"/>
              <w:bottom w:val="single" w:sz="4" w:space="0" w:color="auto"/>
              <w:right w:val="nil"/>
            </w:tcBorders>
            <w:vAlign w:val="center"/>
          </w:tcPr>
          <w:p w:rsidR="00BE7A13" w:rsidRPr="00B578AD" w:rsidRDefault="00BE7A13" w:rsidP="00FA0D83">
            <w:pPr>
              <w:rPr>
                <w:rFonts w:ascii="Times New Roman" w:hAnsi="Times New Roman" w:cs="Times New Roman"/>
                <w:b/>
                <w:sz w:val="16"/>
                <w:szCs w:val="16"/>
                <w:vertAlign w:val="superscript"/>
              </w:rPr>
            </w:pPr>
            <w:r>
              <w:rPr>
                <w:rFonts w:ascii="Times New Roman" w:hAnsi="Times New Roman" w:cs="Times New Roman"/>
                <w:b/>
                <w:sz w:val="16"/>
                <w:szCs w:val="16"/>
              </w:rPr>
              <w:t>Confounder Control</w:t>
            </w:r>
            <w:r w:rsidRPr="00B578AD">
              <w:rPr>
                <w:rFonts w:ascii="Times New Roman" w:hAnsi="Times New Roman" w:cs="Times New Roman"/>
                <w:b/>
                <w:sz w:val="16"/>
                <w:szCs w:val="16"/>
                <w:vertAlign w:val="superscript"/>
              </w:rPr>
              <w:t>4</w:t>
            </w:r>
          </w:p>
        </w:tc>
        <w:tc>
          <w:tcPr>
            <w:tcW w:w="1620" w:type="dxa"/>
            <w:tcBorders>
              <w:top w:val="single" w:sz="4" w:space="0" w:color="auto"/>
              <w:left w:val="nil"/>
              <w:bottom w:val="single" w:sz="4" w:space="0" w:color="auto"/>
              <w:right w:val="nil"/>
            </w:tcBorders>
            <w:vAlign w:val="center"/>
          </w:tcPr>
          <w:p w:rsidR="00BE7A13" w:rsidRPr="00B578AD" w:rsidRDefault="00BE7A13" w:rsidP="00FA0D83">
            <w:pPr>
              <w:rPr>
                <w:rFonts w:ascii="Times New Roman" w:hAnsi="Times New Roman" w:cs="Times New Roman"/>
                <w:b/>
                <w:sz w:val="16"/>
                <w:szCs w:val="16"/>
              </w:rPr>
            </w:pPr>
            <w:r>
              <w:rPr>
                <w:rFonts w:ascii="Times New Roman" w:hAnsi="Times New Roman" w:cs="Times New Roman"/>
                <w:b/>
                <w:sz w:val="16"/>
                <w:szCs w:val="16"/>
              </w:rPr>
              <w:t>Accounting  for Loss to Follow–up</w:t>
            </w:r>
            <w:r w:rsidRPr="00B578AD">
              <w:rPr>
                <w:rFonts w:ascii="Times New Roman" w:hAnsi="Times New Roman" w:cs="Times New Roman"/>
                <w:b/>
                <w:sz w:val="16"/>
                <w:szCs w:val="16"/>
                <w:vertAlign w:val="superscript"/>
              </w:rPr>
              <w:t>5</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sidRPr="00B578AD">
              <w:rPr>
                <w:rFonts w:ascii="Times New Roman" w:eastAsia="Times New Roman" w:hAnsi="Times New Roman" w:cs="Times New Roman"/>
                <w:b/>
                <w:sz w:val="16"/>
                <w:szCs w:val="16"/>
              </w:rPr>
              <w:t>Asia</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b/>
                <w:sz w:val="16"/>
                <w:szCs w:val="16"/>
              </w:rPr>
            </w:pPr>
          </w:p>
        </w:tc>
      </w:tr>
      <w:tr w:rsidR="00BE7A13" w:rsidRPr="00B578AD" w:rsidTr="00BE7A13">
        <w:trPr>
          <w:trHeight w:val="303"/>
          <w:tblHeader/>
        </w:trPr>
        <w:tc>
          <w:tcPr>
            <w:tcW w:w="1368" w:type="dxa"/>
            <w:tcBorders>
              <w:top w:val="nil"/>
              <w:left w:val="nil"/>
              <w:bottom w:val="nil"/>
              <w:right w:val="nil"/>
            </w:tcBorders>
            <w:shd w:val="clear" w:color="auto" w:fill="auto"/>
          </w:tcPr>
          <w:p w:rsidR="00BE7A13" w:rsidRPr="00B578AD"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Ruan</w:t>
            </w:r>
            <w:proofErr w:type="spellEnd"/>
          </w:p>
        </w:tc>
        <w:tc>
          <w:tcPr>
            <w:tcW w:w="8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2010</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Moderate</w:t>
            </w:r>
          </w:p>
        </w:tc>
        <w:tc>
          <w:tcPr>
            <w:tcW w:w="135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26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62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Chasombat</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2009</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shd w:val="clear" w:color="auto" w:fill="auto"/>
          </w:tcPr>
          <w:p w:rsidR="00BE7A13" w:rsidRPr="00B578AD" w:rsidRDefault="00BE7A13" w:rsidP="00BE7A13">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Morineau</w:t>
            </w:r>
            <w:proofErr w:type="spellEnd"/>
          </w:p>
        </w:tc>
        <w:tc>
          <w:tcPr>
            <w:tcW w:w="8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2009</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Low</w:t>
            </w:r>
          </w:p>
        </w:tc>
        <w:tc>
          <w:tcPr>
            <w:tcW w:w="135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26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62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sz w:val="16"/>
                <w:szCs w:val="16"/>
              </w:rPr>
              <w:t>Ferradini</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2007</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330"/>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Madec</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2007</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Americas</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hAnsi="Times New Roman" w:cs="Times New Roman"/>
                <w:b/>
                <w:sz w:val="16"/>
                <w:szCs w:val="16"/>
                <w:u w:val="single"/>
              </w:rPr>
            </w:pPr>
            <w:r w:rsidRPr="00B578AD">
              <w:rPr>
                <w:rFonts w:ascii="Times New Roman" w:eastAsia="Times New Roman" w:hAnsi="Times New Roman" w:cs="Times New Roman"/>
                <w:sz w:val="16"/>
                <w:szCs w:val="16"/>
              </w:rPr>
              <w:t>Corey</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2007</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b/>
                <w:color w:val="000000"/>
                <w:sz w:val="16"/>
                <w:szCs w:val="16"/>
                <w:u w:val="single"/>
              </w:rPr>
            </w:pPr>
            <w:r w:rsidRPr="00B578AD">
              <w:rPr>
                <w:rFonts w:ascii="Times New Roman" w:eastAsia="Times New Roman" w:hAnsi="Times New Roman" w:cs="Times New Roman"/>
                <w:sz w:val="16"/>
                <w:szCs w:val="16"/>
              </w:rPr>
              <w:t>Severe</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2005</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r w:rsidRPr="00B578AD">
              <w:rPr>
                <w:rFonts w:ascii="Times New Roman" w:eastAsia="Times New Roman" w:hAnsi="Times New Roman" w:cs="Times New Roman"/>
                <w:b/>
                <w:color w:val="000000"/>
                <w:sz w:val="16"/>
                <w:szCs w:val="16"/>
              </w:rPr>
              <w:t>Multi-Regional</w:t>
            </w:r>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p>
        </w:tc>
      </w:tr>
      <w:tr w:rsidR="00BE7A13" w:rsidRPr="00B578AD" w:rsidTr="00BE7A13">
        <w:trPr>
          <w:trHeight w:val="288"/>
          <w:tblHeader/>
        </w:trPr>
        <w:tc>
          <w:tcPr>
            <w:tcW w:w="1368" w:type="dxa"/>
            <w:tcBorders>
              <w:top w:val="nil"/>
              <w:left w:val="nil"/>
              <w:bottom w:val="nil"/>
              <w:right w:val="nil"/>
            </w:tcBorders>
            <w:shd w:val="clear" w:color="auto" w:fill="auto"/>
          </w:tcPr>
          <w:p w:rsidR="00BE7A13" w:rsidRPr="00B578AD" w:rsidRDefault="00BE7A13" w:rsidP="00BE7A13">
            <w:pPr>
              <w:rPr>
                <w:rFonts w:ascii="Times New Roman" w:eastAsia="Times New Roman" w:hAnsi="Times New Roman" w:cs="Times New Roman"/>
                <w:sz w:val="16"/>
                <w:szCs w:val="16"/>
              </w:rPr>
            </w:pPr>
            <w:r>
              <w:rPr>
                <w:rFonts w:ascii="Times New Roman" w:eastAsia="Times New Roman" w:hAnsi="Times New Roman" w:cs="Times New Roman"/>
                <w:sz w:val="16"/>
                <w:szCs w:val="16"/>
              </w:rPr>
              <w:t>O’Brien</w:t>
            </w:r>
          </w:p>
        </w:tc>
        <w:tc>
          <w:tcPr>
            <w:tcW w:w="8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2010</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Moderate</w:t>
            </w:r>
          </w:p>
        </w:tc>
        <w:tc>
          <w:tcPr>
            <w:tcW w:w="135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71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p>
        </w:tc>
        <w:tc>
          <w:tcPr>
            <w:tcW w:w="126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c>
          <w:tcPr>
            <w:tcW w:w="1620" w:type="dxa"/>
            <w:tcBorders>
              <w:top w:val="nil"/>
              <w:left w:val="nil"/>
              <w:bottom w:val="nil"/>
              <w:right w:val="nil"/>
            </w:tcBorders>
            <w:shd w:val="clear" w:color="auto" w:fill="auto"/>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No</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sz w:val="16"/>
                <w:szCs w:val="16"/>
              </w:rPr>
              <w:t>Tuboi</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2009</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b/>
                <w:color w:val="000000"/>
                <w:sz w:val="16"/>
                <w:szCs w:val="16"/>
                <w:u w:val="single"/>
              </w:rPr>
            </w:pPr>
            <w:proofErr w:type="spellStart"/>
            <w:r w:rsidRPr="00B578AD">
              <w:rPr>
                <w:rFonts w:ascii="Times New Roman" w:eastAsia="Times New Roman" w:hAnsi="Times New Roman" w:cs="Times New Roman"/>
                <w:sz w:val="16"/>
                <w:szCs w:val="16"/>
              </w:rPr>
              <w:t>Brinkhof</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2008</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Pr>
                <w:rFonts w:ascii="Times New Roman" w:hAnsi="Times New Roman" w:cs="Times New Roman"/>
                <w:sz w:val="16"/>
                <w:szCs w:val="16"/>
              </w:rPr>
              <w:t>Yes</w:t>
            </w:r>
            <w:r w:rsidRPr="00B25E8D">
              <w:rPr>
                <w:rFonts w:ascii="Times New Roman" w:hAnsi="Times New Roman" w:cs="Times New Roman"/>
                <w:sz w:val="16"/>
                <w:szCs w:val="16"/>
                <w:vertAlign w:val="superscript"/>
              </w:rPr>
              <w:t>7</w:t>
            </w:r>
          </w:p>
        </w:tc>
      </w:tr>
      <w:tr w:rsidR="00BE7A13" w:rsidRPr="00B578AD" w:rsidTr="00BE7A13">
        <w:trPr>
          <w:trHeight w:val="450"/>
          <w:tblHeader/>
        </w:trPr>
        <w:tc>
          <w:tcPr>
            <w:tcW w:w="1368" w:type="dxa"/>
            <w:tcBorders>
              <w:top w:val="nil"/>
              <w:left w:val="nil"/>
              <w:bottom w:val="nil"/>
              <w:right w:val="nil"/>
            </w:tcBorders>
          </w:tcPr>
          <w:p w:rsidR="00BE7A13" w:rsidRPr="00B578AD" w:rsidRDefault="00BE7A13" w:rsidP="00BE7A13">
            <w:pPr>
              <w:rPr>
                <w:rFonts w:ascii="Times New Roman" w:eastAsia="Times New Roman" w:hAnsi="Times New Roman" w:cs="Times New Roman"/>
                <w:sz w:val="16"/>
                <w:szCs w:val="16"/>
              </w:rPr>
            </w:pPr>
            <w:proofErr w:type="spellStart"/>
            <w:r w:rsidRPr="00B578AD">
              <w:rPr>
                <w:rFonts w:ascii="Times New Roman" w:eastAsia="Times New Roman" w:hAnsi="Times New Roman" w:cs="Times New Roman"/>
                <w:color w:val="000000"/>
                <w:sz w:val="16"/>
                <w:szCs w:val="16"/>
              </w:rPr>
              <w:t>Braitstein</w:t>
            </w:r>
            <w:proofErr w:type="spellEnd"/>
          </w:p>
        </w:tc>
        <w:tc>
          <w:tcPr>
            <w:tcW w:w="8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Low</w:t>
            </w:r>
          </w:p>
        </w:tc>
        <w:tc>
          <w:tcPr>
            <w:tcW w:w="135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26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 only those on active follow-up</w:t>
            </w:r>
          </w:p>
        </w:tc>
        <w:tc>
          <w:tcPr>
            <w:tcW w:w="1620" w:type="dxa"/>
            <w:tcBorders>
              <w:top w:val="nil"/>
              <w:left w:val="nil"/>
              <w:bottom w:val="nil"/>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r w:rsidR="00BE7A13" w:rsidRPr="00B578AD" w:rsidTr="00BE7A13">
        <w:trPr>
          <w:trHeight w:val="288"/>
          <w:tblHeader/>
        </w:trPr>
        <w:tc>
          <w:tcPr>
            <w:tcW w:w="1368" w:type="dxa"/>
            <w:tcBorders>
              <w:top w:val="nil"/>
              <w:left w:val="nil"/>
              <w:bottom w:val="single" w:sz="4" w:space="0" w:color="auto"/>
              <w:right w:val="nil"/>
            </w:tcBorders>
          </w:tcPr>
          <w:p w:rsidR="00BE7A13" w:rsidRPr="00B578AD" w:rsidRDefault="00BE7A13" w:rsidP="00BE7A13">
            <w:pPr>
              <w:rPr>
                <w:rFonts w:ascii="Times New Roman" w:eastAsia="Times New Roman" w:hAnsi="Times New Roman" w:cs="Times New Roman"/>
                <w:color w:val="000000"/>
                <w:sz w:val="16"/>
                <w:szCs w:val="16"/>
              </w:rPr>
            </w:pPr>
            <w:proofErr w:type="spellStart"/>
            <w:r w:rsidRPr="00B578AD">
              <w:rPr>
                <w:rFonts w:ascii="Times New Roman" w:eastAsia="Times New Roman" w:hAnsi="Times New Roman" w:cs="Times New Roman"/>
                <w:color w:val="000000"/>
                <w:sz w:val="16"/>
                <w:szCs w:val="16"/>
              </w:rPr>
              <w:t>Calmy</w:t>
            </w:r>
            <w:proofErr w:type="spellEnd"/>
          </w:p>
        </w:tc>
        <w:tc>
          <w:tcPr>
            <w:tcW w:w="810" w:type="dxa"/>
            <w:tcBorders>
              <w:top w:val="nil"/>
              <w:left w:val="nil"/>
              <w:bottom w:val="single" w:sz="4" w:space="0" w:color="auto"/>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2006</w:t>
            </w:r>
          </w:p>
        </w:tc>
        <w:tc>
          <w:tcPr>
            <w:tcW w:w="1710" w:type="dxa"/>
            <w:tcBorders>
              <w:top w:val="nil"/>
              <w:left w:val="nil"/>
              <w:bottom w:val="single" w:sz="4" w:space="0" w:color="auto"/>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Moderate</w:t>
            </w:r>
          </w:p>
        </w:tc>
        <w:tc>
          <w:tcPr>
            <w:tcW w:w="1350" w:type="dxa"/>
            <w:tcBorders>
              <w:top w:val="nil"/>
              <w:left w:val="nil"/>
              <w:bottom w:val="single" w:sz="4" w:space="0" w:color="auto"/>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No</w:t>
            </w:r>
          </w:p>
        </w:tc>
        <w:tc>
          <w:tcPr>
            <w:tcW w:w="1710" w:type="dxa"/>
            <w:tcBorders>
              <w:top w:val="nil"/>
              <w:left w:val="nil"/>
              <w:bottom w:val="single" w:sz="4" w:space="0" w:color="auto"/>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260" w:type="dxa"/>
            <w:tcBorders>
              <w:top w:val="nil"/>
              <w:left w:val="nil"/>
              <w:bottom w:val="single" w:sz="4" w:space="0" w:color="auto"/>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c>
          <w:tcPr>
            <w:tcW w:w="1620" w:type="dxa"/>
            <w:tcBorders>
              <w:top w:val="nil"/>
              <w:left w:val="nil"/>
              <w:bottom w:val="single" w:sz="4" w:space="0" w:color="auto"/>
              <w:right w:val="nil"/>
            </w:tcBorders>
          </w:tcPr>
          <w:p w:rsidR="00BE7A13" w:rsidRPr="00B578AD" w:rsidRDefault="00BE7A13" w:rsidP="00BE7A13">
            <w:pPr>
              <w:rPr>
                <w:rFonts w:ascii="Times New Roman" w:hAnsi="Times New Roman" w:cs="Times New Roman"/>
                <w:sz w:val="16"/>
                <w:szCs w:val="16"/>
              </w:rPr>
            </w:pPr>
            <w:r w:rsidRPr="00B578AD">
              <w:rPr>
                <w:rFonts w:ascii="Times New Roman" w:hAnsi="Times New Roman" w:cs="Times New Roman"/>
                <w:sz w:val="16"/>
                <w:szCs w:val="16"/>
              </w:rPr>
              <w:t>Yes</w:t>
            </w:r>
          </w:p>
        </w:tc>
      </w:tr>
    </w:tbl>
    <w:p w:rsidR="009B1E47" w:rsidRDefault="009B1E47"/>
    <w:p w:rsidR="00BE7A13" w:rsidRPr="00812BCB" w:rsidRDefault="00B35865" w:rsidP="00BE7A13">
      <w:pPr>
        <w:spacing w:line="240" w:lineRule="auto"/>
        <w:ind w:right="6"/>
        <w:contextualSpacing/>
        <w:rPr>
          <w:rFonts w:ascii="Times New Roman" w:hAnsi="Times New Roman" w:cs="Times New Roman"/>
          <w:b/>
        </w:rPr>
      </w:pPr>
      <w:r>
        <w:rPr>
          <w:rFonts w:ascii="Times New Roman" w:hAnsi="Times New Roman" w:cs="Times New Roman"/>
          <w:b/>
        </w:rPr>
        <w:t>Legend</w:t>
      </w:r>
      <w:r w:rsidR="00BE7A13" w:rsidRPr="0032371E">
        <w:rPr>
          <w:rFonts w:ascii="Times New Roman" w:hAnsi="Times New Roman" w:cs="Times New Roman"/>
          <w:b/>
        </w:rPr>
        <w:t xml:space="preserve">: </w:t>
      </w:r>
      <w:bookmarkStart w:id="0" w:name="_GoBack"/>
      <w:bookmarkEnd w:id="0"/>
      <w:r w:rsidR="00BE7A13" w:rsidRPr="0032371E">
        <w:rPr>
          <w:rFonts w:ascii="Times New Roman" w:hAnsi="Times New Roman" w:cs="Times New Roman"/>
          <w:b/>
          <w:vertAlign w:val="superscript"/>
        </w:rPr>
        <w:t>1</w:t>
      </w:r>
      <w:r w:rsidR="00BE7A13" w:rsidRPr="0032371E">
        <w:rPr>
          <w:rFonts w:ascii="Times New Roman" w:hAnsi="Times New Roman"/>
        </w:rPr>
        <w:t xml:space="preserve">Ascertainment bias was calculated from two parameters, a) Loss to follow–up mentioned and b) Active method for ascertainment of mortality. If loss to follow–up was mentioned 1 point was assigned and if there was an active method for ascertainment of mortality then 1 point was assigned. The scoring system was thus: </w:t>
      </w:r>
      <w:r w:rsidR="00BE7A13" w:rsidRPr="0032371E">
        <w:rPr>
          <w:rFonts w:ascii="Times New Roman" w:hAnsi="Times New Roman"/>
          <w:b/>
        </w:rPr>
        <w:t>2 points</w:t>
      </w:r>
      <w:r w:rsidR="00BE7A13" w:rsidRPr="0032371E">
        <w:rPr>
          <w:rFonts w:ascii="Times New Roman" w:hAnsi="Times New Roman"/>
        </w:rPr>
        <w:t xml:space="preserve">- Low chance of ascertainment bias; </w:t>
      </w:r>
      <w:r w:rsidR="00BE7A13" w:rsidRPr="0032371E">
        <w:rPr>
          <w:rFonts w:ascii="Times New Roman" w:hAnsi="Times New Roman"/>
          <w:b/>
        </w:rPr>
        <w:t xml:space="preserve">1point- </w:t>
      </w:r>
      <w:r w:rsidR="00BE7A13" w:rsidRPr="0032371E">
        <w:rPr>
          <w:rFonts w:ascii="Times New Roman" w:hAnsi="Times New Roman"/>
        </w:rPr>
        <w:t xml:space="preserve">Moderate chance of ascertainment bias; </w:t>
      </w:r>
      <w:r w:rsidR="00BE7A13" w:rsidRPr="0032371E">
        <w:rPr>
          <w:rFonts w:ascii="Times New Roman" w:hAnsi="Times New Roman"/>
          <w:b/>
        </w:rPr>
        <w:t>0 points</w:t>
      </w:r>
      <w:r w:rsidR="00BE7A13" w:rsidRPr="0032371E">
        <w:rPr>
          <w:rFonts w:ascii="Times New Roman" w:hAnsi="Times New Roman"/>
        </w:rPr>
        <w:t xml:space="preserve">– High chance of ascertainment bias; </w:t>
      </w:r>
      <w:r w:rsidR="00BE7A13" w:rsidRPr="0032371E">
        <w:rPr>
          <w:rFonts w:ascii="Times New Roman" w:hAnsi="Times New Roman" w:cs="Times New Roman"/>
          <w:b/>
          <w:vertAlign w:val="superscript"/>
        </w:rPr>
        <w:t>2</w:t>
      </w:r>
      <w:r w:rsidR="00BE7A13" w:rsidRPr="0032371E">
        <w:rPr>
          <w:rFonts w:ascii="Times New Roman" w:hAnsi="Times New Roman"/>
        </w:rPr>
        <w:t xml:space="preserve">Cotrimoxazole /Tuberculosis prophylaxis; </w:t>
      </w:r>
      <w:r w:rsidR="00BE7A13" w:rsidRPr="0032371E">
        <w:rPr>
          <w:rFonts w:ascii="Times New Roman" w:hAnsi="Times New Roman" w:cs="Times New Roman"/>
          <w:b/>
          <w:vertAlign w:val="superscript"/>
        </w:rPr>
        <w:t>3</w:t>
      </w:r>
      <w:r w:rsidR="00BE7A13" w:rsidRPr="0032371E">
        <w:rPr>
          <w:rFonts w:ascii="Times New Roman" w:hAnsi="Times New Roman"/>
        </w:rPr>
        <w:t>Adherence was evaluated in various methods such as assigning a care taker for the patient, prescribing medication for a standard duration and asking the patients to come with the completed kit, counseling the patients and their care takers at the  initiation of antiretroviral therapy about the importance of being adherent to medication;</w:t>
      </w:r>
      <w:r w:rsidR="00BE7A13" w:rsidRPr="0032371E">
        <w:rPr>
          <w:rFonts w:ascii="Times New Roman" w:hAnsi="Times New Roman"/>
          <w:vertAlign w:val="superscript"/>
        </w:rPr>
        <w:t>4</w:t>
      </w:r>
      <w:r w:rsidR="00BE7A13" w:rsidRPr="0032371E">
        <w:rPr>
          <w:rFonts w:ascii="Times New Roman" w:hAnsi="Times New Roman"/>
        </w:rPr>
        <w:t xml:space="preserve">Confounder control was said to be adequate if multivariable analysis was performed; </w:t>
      </w:r>
      <w:r w:rsidR="00BE7A13" w:rsidRPr="0032371E">
        <w:rPr>
          <w:rFonts w:ascii="Times New Roman" w:hAnsi="Times New Roman" w:cs="Times New Roman"/>
          <w:vertAlign w:val="superscript"/>
        </w:rPr>
        <w:t>5</w:t>
      </w:r>
      <w:r w:rsidR="00BE7A13" w:rsidRPr="0032371E">
        <w:rPr>
          <w:rFonts w:ascii="Times New Roman" w:hAnsi="Times New Roman"/>
        </w:rPr>
        <w:t xml:space="preserve">Losses to follow–up was defined in various forms by each study and was accounted by different means such as making phone  calls, home visits, attendance from patient registers </w:t>
      </w:r>
      <w:proofErr w:type="spellStart"/>
      <w:r w:rsidR="00BE7A13" w:rsidRPr="0032371E">
        <w:rPr>
          <w:rFonts w:ascii="Times New Roman" w:hAnsi="Times New Roman"/>
        </w:rPr>
        <w:t>etc</w:t>
      </w:r>
      <w:proofErr w:type="spellEnd"/>
      <w:r w:rsidR="00BE7A13" w:rsidRPr="0032371E">
        <w:rPr>
          <w:rFonts w:ascii="Times New Roman" w:hAnsi="Times New Roman"/>
        </w:rPr>
        <w:t xml:space="preserve">; </w:t>
      </w:r>
      <w:r w:rsidR="00BE7A13" w:rsidRPr="0032371E">
        <w:rPr>
          <w:rFonts w:ascii="Times New Roman" w:hAnsi="Times New Roman"/>
          <w:vertAlign w:val="superscript"/>
        </w:rPr>
        <w:t>6</w:t>
      </w:r>
      <w:r w:rsidR="00BE7A13" w:rsidRPr="0032371E">
        <w:rPr>
          <w:rFonts w:ascii="Times New Roman" w:hAnsi="Times New Roman"/>
        </w:rPr>
        <w:t xml:space="preserve">Adherence counseling was done to patients/patient guardian at the time of initiation of ART but adherence was never measured during the follow–up; </w:t>
      </w:r>
      <w:r w:rsidR="00BE7A13" w:rsidRPr="0032371E">
        <w:rPr>
          <w:rFonts w:ascii="Times New Roman" w:hAnsi="Times New Roman"/>
          <w:vertAlign w:val="superscript"/>
        </w:rPr>
        <w:t>7</w:t>
      </w:r>
      <w:r w:rsidR="00BE7A13" w:rsidRPr="0032371E">
        <w:rPr>
          <w:rFonts w:ascii="Times New Roman" w:hAnsi="Times New Roman"/>
        </w:rPr>
        <w:t>211(3.8%) were lost to follow–up after 1</w:t>
      </w:r>
      <w:r w:rsidR="00BE7A13" w:rsidRPr="0032371E">
        <w:rPr>
          <w:rFonts w:ascii="Times New Roman" w:hAnsi="Times New Roman"/>
          <w:vertAlign w:val="superscript"/>
        </w:rPr>
        <w:t>st</w:t>
      </w:r>
      <w:r w:rsidR="00BE7A13" w:rsidRPr="0032371E">
        <w:rPr>
          <w:rFonts w:ascii="Times New Roman" w:hAnsi="Times New Roman"/>
        </w:rPr>
        <w:t>ART visit while 880(16%) were lost to follow–up later on</w:t>
      </w:r>
      <w:r w:rsidR="00812BCB">
        <w:rPr>
          <w:rFonts w:ascii="Times New Roman" w:hAnsi="Times New Roman"/>
        </w:rPr>
        <w:t xml:space="preserve">. </w:t>
      </w:r>
    </w:p>
    <w:p w:rsidR="00E4012E" w:rsidRDefault="00E4012E" w:rsidP="00BE7A13">
      <w:pPr>
        <w:spacing w:line="240" w:lineRule="auto"/>
        <w:ind w:right="6"/>
        <w:contextualSpacing/>
        <w:rPr>
          <w:rFonts w:ascii="Times New Roman" w:hAnsi="Times New Roman"/>
          <w:sz w:val="16"/>
          <w:szCs w:val="16"/>
        </w:rPr>
      </w:pPr>
    </w:p>
    <w:sectPr w:rsidR="00E401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AE" w:rsidRDefault="00BE7FAE" w:rsidP="00BE7A13">
      <w:pPr>
        <w:spacing w:after="0" w:line="240" w:lineRule="auto"/>
      </w:pPr>
      <w:r>
        <w:separator/>
      </w:r>
    </w:p>
  </w:endnote>
  <w:endnote w:type="continuationSeparator" w:id="0">
    <w:p w:rsidR="00BE7FAE" w:rsidRDefault="00BE7FAE" w:rsidP="00BE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AE" w:rsidRDefault="00BE7FAE" w:rsidP="00BE7A13">
      <w:pPr>
        <w:spacing w:after="0" w:line="240" w:lineRule="auto"/>
      </w:pPr>
      <w:r>
        <w:separator/>
      </w:r>
    </w:p>
  </w:footnote>
  <w:footnote w:type="continuationSeparator" w:id="0">
    <w:p w:rsidR="00BE7FAE" w:rsidRDefault="00BE7FAE" w:rsidP="00BE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13" w:rsidRPr="0032371E" w:rsidRDefault="00BE7A13">
    <w:pPr>
      <w:pStyle w:val="Header"/>
      <w:rPr>
        <w:rFonts w:ascii="Times New Roman" w:hAnsi="Times New Roman" w:cs="Times New Roman"/>
        <w:b/>
      </w:rPr>
    </w:pPr>
    <w:r w:rsidRPr="0032371E">
      <w:rPr>
        <w:rFonts w:ascii="Times New Roman" w:hAnsi="Times New Roman" w:cs="Times New Roman"/>
        <w:b/>
      </w:rPr>
      <w:t>Table</w:t>
    </w:r>
    <w:r w:rsidR="006E1F9D" w:rsidRPr="0032371E">
      <w:rPr>
        <w:rFonts w:ascii="Times New Roman" w:hAnsi="Times New Roman" w:cs="Times New Roman"/>
        <w:b/>
      </w:rPr>
      <w:t xml:space="preserve"> S4. Qualitative a</w:t>
    </w:r>
    <w:r w:rsidRPr="0032371E">
      <w:rPr>
        <w:rFonts w:ascii="Times New Roman" w:hAnsi="Times New Roman" w:cs="Times New Roman"/>
        <w:b/>
      </w:rPr>
      <w:t xml:space="preserve">ssessment of </w:t>
    </w:r>
    <w:r w:rsidR="006E1F9D" w:rsidRPr="0032371E">
      <w:rPr>
        <w:rFonts w:ascii="Times New Roman" w:hAnsi="Times New Roman" w:cs="Times New Roman"/>
        <w:b/>
      </w:rPr>
      <w:t>i</w:t>
    </w:r>
    <w:r w:rsidRPr="0032371E">
      <w:rPr>
        <w:rFonts w:ascii="Times New Roman" w:hAnsi="Times New Roman" w:cs="Times New Roman"/>
        <w:b/>
      </w:rPr>
      <w:t xml:space="preserve">ncluded </w:t>
    </w:r>
    <w:r w:rsidR="006E1F9D" w:rsidRPr="0032371E">
      <w:rPr>
        <w:rFonts w:ascii="Times New Roman" w:hAnsi="Times New Roman" w:cs="Times New Roman"/>
        <w:b/>
      </w:rPr>
      <w:t>s</w:t>
    </w:r>
    <w:r w:rsidRPr="0032371E">
      <w:rPr>
        <w:rFonts w:ascii="Times New Roman" w:hAnsi="Times New Roman" w:cs="Times New Roman"/>
        <w:b/>
      </w:rPr>
      <w:t>tudies</w:t>
    </w:r>
    <w:r w:rsidR="0032371E">
      <w:rPr>
        <w:rFonts w:ascii="Times New Roman" w:hAnsi="Times New Roman" w:cs="Times New Roman"/>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13"/>
    <w:rsid w:val="0032371E"/>
    <w:rsid w:val="00517693"/>
    <w:rsid w:val="00613A78"/>
    <w:rsid w:val="006E1F9D"/>
    <w:rsid w:val="00812BCB"/>
    <w:rsid w:val="009B1E47"/>
    <w:rsid w:val="00B35865"/>
    <w:rsid w:val="00BE7A13"/>
    <w:rsid w:val="00BE7FAE"/>
    <w:rsid w:val="00E4012E"/>
    <w:rsid w:val="00F1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1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13"/>
    <w:rPr>
      <w:rFonts w:eastAsiaTheme="minorEastAsia"/>
    </w:rPr>
  </w:style>
  <w:style w:type="paragraph" w:styleId="Footer">
    <w:name w:val="footer"/>
    <w:basedOn w:val="Normal"/>
    <w:link w:val="FooterChar"/>
    <w:uiPriority w:val="99"/>
    <w:unhideWhenUsed/>
    <w:rsid w:val="00BE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13"/>
    <w:rPr>
      <w:rFonts w:eastAsiaTheme="minorEastAsia"/>
    </w:rPr>
  </w:style>
  <w:style w:type="paragraph" w:styleId="BalloonText">
    <w:name w:val="Balloon Text"/>
    <w:basedOn w:val="Normal"/>
    <w:link w:val="BalloonTextChar"/>
    <w:uiPriority w:val="99"/>
    <w:semiHidden/>
    <w:unhideWhenUsed/>
    <w:rsid w:val="00BE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1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1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13"/>
    <w:rPr>
      <w:rFonts w:eastAsiaTheme="minorEastAsia"/>
    </w:rPr>
  </w:style>
  <w:style w:type="paragraph" w:styleId="Footer">
    <w:name w:val="footer"/>
    <w:basedOn w:val="Normal"/>
    <w:link w:val="FooterChar"/>
    <w:uiPriority w:val="99"/>
    <w:unhideWhenUsed/>
    <w:rsid w:val="00BE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13"/>
    <w:rPr>
      <w:rFonts w:eastAsiaTheme="minorEastAsia"/>
    </w:rPr>
  </w:style>
  <w:style w:type="paragraph" w:styleId="BalloonText">
    <w:name w:val="Balloon Text"/>
    <w:basedOn w:val="Normal"/>
    <w:link w:val="BalloonTextChar"/>
    <w:uiPriority w:val="99"/>
    <w:semiHidden/>
    <w:unhideWhenUsed/>
    <w:rsid w:val="00BE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JHU Department of Medicine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dc:creator>
  <cp:keywords/>
  <dc:description/>
  <cp:lastModifiedBy>JHU</cp:lastModifiedBy>
  <cp:revision>5</cp:revision>
  <dcterms:created xsi:type="dcterms:W3CDTF">2011-11-18T16:33:00Z</dcterms:created>
  <dcterms:modified xsi:type="dcterms:W3CDTF">2011-12-02T19:52:00Z</dcterms:modified>
</cp:coreProperties>
</file>