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936" w:rsidRPr="00A109F2" w:rsidRDefault="00F52936" w:rsidP="00F52936">
      <w:pPr>
        <w:spacing w:line="480" w:lineRule="auto"/>
        <w:rPr>
          <w:rFonts w:ascii="Times New Roman" w:hAnsi="Times New Roman"/>
          <w:sz w:val="24"/>
          <w:szCs w:val="24"/>
        </w:rPr>
      </w:pPr>
      <w:r w:rsidRPr="00A109F2">
        <w:rPr>
          <w:rFonts w:ascii="Times New Roman" w:hAnsi="Times New Roman"/>
          <w:sz w:val="24"/>
          <w:szCs w:val="24"/>
        </w:rPr>
        <w:t xml:space="preserve">Table </w:t>
      </w:r>
      <w:r>
        <w:rPr>
          <w:rFonts w:ascii="Times New Roman" w:hAnsi="Times New Roman"/>
          <w:sz w:val="24"/>
          <w:szCs w:val="24"/>
        </w:rPr>
        <w:t>S</w:t>
      </w:r>
      <w:r w:rsidRPr="00A109F2">
        <w:rPr>
          <w:rFonts w:ascii="Times New Roman" w:hAnsi="Times New Roman"/>
          <w:sz w:val="24"/>
          <w:szCs w:val="24"/>
        </w:rPr>
        <w:t>2</w:t>
      </w:r>
    </w:p>
    <w:tbl>
      <w:tblPr>
        <w:tblW w:w="9683" w:type="dxa"/>
        <w:tblInd w:w="98" w:type="dxa"/>
        <w:tblLook w:val="00A0"/>
      </w:tblPr>
      <w:tblGrid>
        <w:gridCol w:w="1005"/>
        <w:gridCol w:w="963"/>
        <w:gridCol w:w="1552"/>
        <w:gridCol w:w="1440"/>
        <w:gridCol w:w="1418"/>
        <w:gridCol w:w="1595"/>
        <w:gridCol w:w="1710"/>
      </w:tblGrid>
      <w:tr w:rsidR="00F52936" w:rsidRPr="00A109F2" w:rsidTr="00C21060">
        <w:trPr>
          <w:trHeight w:val="570"/>
        </w:trPr>
        <w:tc>
          <w:tcPr>
            <w:tcW w:w="1005" w:type="dxa"/>
            <w:vMerge w:val="restart"/>
            <w:tcBorders>
              <w:top w:val="single" w:sz="8" w:space="0" w:color="auto"/>
              <w:left w:val="single" w:sz="8" w:space="0" w:color="auto"/>
              <w:bottom w:val="single" w:sz="8" w:space="0" w:color="auto"/>
              <w:right w:val="single" w:sz="8" w:space="0" w:color="auto"/>
            </w:tcBorders>
            <w:noWrap/>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Density</w:t>
            </w:r>
          </w:p>
        </w:tc>
        <w:tc>
          <w:tcPr>
            <w:tcW w:w="963" w:type="dxa"/>
            <w:vMerge w:val="restart"/>
            <w:tcBorders>
              <w:top w:val="single" w:sz="8" w:space="0" w:color="auto"/>
              <w:left w:val="single" w:sz="8" w:space="0" w:color="auto"/>
              <w:bottom w:val="single" w:sz="8" w:space="0" w:color="000000"/>
              <w:right w:val="single" w:sz="8" w:space="0" w:color="auto"/>
            </w:tcBorders>
            <w:noWrap/>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Symbol</w:t>
            </w:r>
          </w:p>
        </w:tc>
        <w:tc>
          <w:tcPr>
            <w:tcW w:w="1552" w:type="dxa"/>
            <w:vMerge w:val="restart"/>
            <w:tcBorders>
              <w:top w:val="single" w:sz="8" w:space="0" w:color="auto"/>
              <w:left w:val="single" w:sz="8" w:space="0" w:color="auto"/>
              <w:bottom w:val="single" w:sz="8" w:space="0" w:color="auto"/>
              <w:right w:val="single" w:sz="8" w:space="0" w:color="auto"/>
            </w:tcBorders>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HCC</w:t>
            </w:r>
          </w:p>
        </w:tc>
        <w:tc>
          <w:tcPr>
            <w:tcW w:w="1440" w:type="dxa"/>
            <w:vMerge w:val="restart"/>
            <w:tcBorders>
              <w:top w:val="single" w:sz="8" w:space="0" w:color="auto"/>
              <w:left w:val="single" w:sz="8" w:space="0" w:color="auto"/>
              <w:bottom w:val="single" w:sz="8" w:space="0" w:color="auto"/>
              <w:right w:val="nil"/>
            </w:tcBorders>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Adjacent non-HCC</w:t>
            </w:r>
          </w:p>
        </w:tc>
        <w:tc>
          <w:tcPr>
            <w:tcW w:w="1418" w:type="dxa"/>
            <w:vMerge w:val="restart"/>
            <w:tcBorders>
              <w:top w:val="single" w:sz="8" w:space="0" w:color="auto"/>
              <w:left w:val="single" w:sz="8" w:space="0" w:color="auto"/>
              <w:bottom w:val="single" w:sz="8" w:space="0" w:color="auto"/>
              <w:right w:val="single" w:sz="8" w:space="0" w:color="auto"/>
            </w:tcBorders>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Cirrhosis</w:t>
            </w:r>
          </w:p>
        </w:tc>
        <w:tc>
          <w:tcPr>
            <w:tcW w:w="1595" w:type="dxa"/>
            <w:vMerge w:val="restart"/>
            <w:tcBorders>
              <w:top w:val="single" w:sz="8" w:space="0" w:color="auto"/>
              <w:left w:val="single" w:sz="4" w:space="0" w:color="auto"/>
              <w:bottom w:val="single" w:sz="4" w:space="0" w:color="auto"/>
              <w:right w:val="single" w:sz="4" w:space="0" w:color="auto"/>
            </w:tcBorders>
            <w:noWrap/>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Hepatitis</w:t>
            </w:r>
          </w:p>
        </w:tc>
        <w:tc>
          <w:tcPr>
            <w:tcW w:w="1710" w:type="dxa"/>
            <w:vMerge w:val="restart"/>
            <w:tcBorders>
              <w:top w:val="single" w:sz="8" w:space="0" w:color="auto"/>
              <w:left w:val="single" w:sz="4" w:space="0" w:color="auto"/>
              <w:bottom w:val="single" w:sz="4" w:space="0" w:color="auto"/>
              <w:right w:val="single" w:sz="8" w:space="0" w:color="auto"/>
            </w:tcBorders>
            <w:noWrap/>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Normal liver</w:t>
            </w:r>
          </w:p>
        </w:tc>
      </w:tr>
      <w:tr w:rsidR="00F52936" w:rsidRPr="00A109F2" w:rsidTr="00C21060">
        <w:trPr>
          <w:trHeight w:val="810"/>
        </w:trPr>
        <w:tc>
          <w:tcPr>
            <w:tcW w:w="1005" w:type="dxa"/>
            <w:vMerge/>
            <w:tcBorders>
              <w:top w:val="single" w:sz="8" w:space="0" w:color="auto"/>
              <w:left w:val="single" w:sz="8" w:space="0" w:color="auto"/>
              <w:bottom w:val="single" w:sz="8" w:space="0" w:color="auto"/>
              <w:right w:val="single" w:sz="8" w:space="0" w:color="auto"/>
            </w:tcBorders>
            <w:vAlign w:val="center"/>
          </w:tcPr>
          <w:p w:rsidR="00F52936" w:rsidRPr="00A109F2" w:rsidRDefault="00F52936" w:rsidP="00C21060">
            <w:pPr>
              <w:keepNext/>
              <w:keepLines/>
              <w:spacing w:before="240" w:after="0" w:line="480" w:lineRule="auto"/>
              <w:outlineLvl w:val="0"/>
              <w:rPr>
                <w:rFonts w:ascii="Times New Roman" w:hAnsi="Times New Roman"/>
                <w:color w:val="000000"/>
                <w:sz w:val="24"/>
                <w:szCs w:val="24"/>
              </w:rPr>
            </w:pPr>
          </w:p>
        </w:tc>
        <w:tc>
          <w:tcPr>
            <w:tcW w:w="963" w:type="dxa"/>
            <w:vMerge/>
            <w:tcBorders>
              <w:top w:val="single" w:sz="8" w:space="0" w:color="auto"/>
              <w:left w:val="single" w:sz="8" w:space="0" w:color="auto"/>
              <w:bottom w:val="single" w:sz="8" w:space="0" w:color="000000"/>
              <w:right w:val="single" w:sz="8" w:space="0" w:color="auto"/>
            </w:tcBorders>
            <w:vAlign w:val="center"/>
          </w:tcPr>
          <w:p w:rsidR="00F52936" w:rsidRPr="00A109F2" w:rsidRDefault="00F52936" w:rsidP="00C21060">
            <w:pPr>
              <w:keepNext/>
              <w:keepLines/>
              <w:spacing w:before="240" w:after="0" w:line="480" w:lineRule="auto"/>
              <w:outlineLvl w:val="0"/>
              <w:rPr>
                <w:rFonts w:ascii="Times New Roman" w:hAnsi="Times New Roman"/>
                <w:color w:val="000000"/>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tcPr>
          <w:p w:rsidR="00F52936" w:rsidRPr="00A109F2" w:rsidRDefault="00F52936" w:rsidP="00C21060">
            <w:pPr>
              <w:keepNext/>
              <w:keepLines/>
              <w:spacing w:before="240" w:after="0" w:line="480" w:lineRule="auto"/>
              <w:outlineLvl w:val="0"/>
              <w:rPr>
                <w:rFonts w:ascii="Times New Roman" w:hAnsi="Times New Roman"/>
                <w:color w:val="000000"/>
                <w:sz w:val="24"/>
                <w:szCs w:val="24"/>
              </w:rPr>
            </w:pPr>
          </w:p>
        </w:tc>
        <w:tc>
          <w:tcPr>
            <w:tcW w:w="1440" w:type="dxa"/>
            <w:vMerge/>
            <w:tcBorders>
              <w:top w:val="single" w:sz="8" w:space="0" w:color="auto"/>
              <w:left w:val="single" w:sz="8" w:space="0" w:color="auto"/>
              <w:bottom w:val="single" w:sz="8" w:space="0" w:color="auto"/>
              <w:right w:val="nil"/>
            </w:tcBorders>
            <w:vAlign w:val="center"/>
          </w:tcPr>
          <w:p w:rsidR="00F52936" w:rsidRPr="00A109F2" w:rsidRDefault="00F52936" w:rsidP="00C21060">
            <w:pPr>
              <w:keepNext/>
              <w:keepLines/>
              <w:spacing w:before="240" w:after="0" w:line="480" w:lineRule="auto"/>
              <w:outlineLvl w:val="0"/>
              <w:rPr>
                <w:rFonts w:ascii="Times New Roman" w:hAnsi="Times New Roman"/>
                <w:color w:val="000000"/>
                <w:sz w:val="24"/>
                <w:szCs w:val="24"/>
              </w:rPr>
            </w:pPr>
          </w:p>
        </w:tc>
        <w:tc>
          <w:tcPr>
            <w:tcW w:w="1418" w:type="dxa"/>
            <w:vMerge/>
            <w:tcBorders>
              <w:top w:val="single" w:sz="8" w:space="0" w:color="auto"/>
              <w:left w:val="single" w:sz="8" w:space="0" w:color="auto"/>
              <w:bottom w:val="single" w:sz="8" w:space="0" w:color="auto"/>
              <w:right w:val="single" w:sz="8" w:space="0" w:color="auto"/>
            </w:tcBorders>
            <w:vAlign w:val="center"/>
          </w:tcPr>
          <w:p w:rsidR="00F52936" w:rsidRPr="00A109F2" w:rsidRDefault="00F52936" w:rsidP="00C21060">
            <w:pPr>
              <w:keepNext/>
              <w:keepLines/>
              <w:spacing w:before="240" w:after="0" w:line="480" w:lineRule="auto"/>
              <w:outlineLvl w:val="0"/>
              <w:rPr>
                <w:rFonts w:ascii="Times New Roman" w:hAnsi="Times New Roman"/>
                <w:color w:val="000000"/>
                <w:sz w:val="24"/>
                <w:szCs w:val="24"/>
              </w:rPr>
            </w:pPr>
          </w:p>
        </w:tc>
        <w:tc>
          <w:tcPr>
            <w:tcW w:w="1595" w:type="dxa"/>
            <w:vMerge/>
            <w:tcBorders>
              <w:top w:val="single" w:sz="8" w:space="0" w:color="auto"/>
              <w:left w:val="single" w:sz="4" w:space="0" w:color="auto"/>
              <w:bottom w:val="single" w:sz="4" w:space="0" w:color="auto"/>
              <w:right w:val="single" w:sz="4" w:space="0" w:color="auto"/>
            </w:tcBorders>
            <w:vAlign w:val="center"/>
          </w:tcPr>
          <w:p w:rsidR="00F52936" w:rsidRPr="00A109F2" w:rsidRDefault="00F52936" w:rsidP="00C21060">
            <w:pPr>
              <w:keepNext/>
              <w:keepLines/>
              <w:spacing w:before="240" w:after="0" w:line="480" w:lineRule="auto"/>
              <w:outlineLvl w:val="0"/>
              <w:rPr>
                <w:rFonts w:ascii="Times New Roman" w:hAnsi="Times New Roman"/>
                <w:color w:val="000000"/>
                <w:sz w:val="24"/>
                <w:szCs w:val="24"/>
              </w:rPr>
            </w:pPr>
          </w:p>
        </w:tc>
        <w:tc>
          <w:tcPr>
            <w:tcW w:w="1710" w:type="dxa"/>
            <w:vMerge/>
            <w:tcBorders>
              <w:top w:val="single" w:sz="8" w:space="0" w:color="auto"/>
              <w:left w:val="single" w:sz="4" w:space="0" w:color="auto"/>
              <w:bottom w:val="single" w:sz="4" w:space="0" w:color="auto"/>
              <w:right w:val="single" w:sz="8" w:space="0" w:color="auto"/>
            </w:tcBorders>
            <w:vAlign w:val="center"/>
          </w:tcPr>
          <w:p w:rsidR="00F52936" w:rsidRPr="00A109F2" w:rsidRDefault="00F52936" w:rsidP="00C21060">
            <w:pPr>
              <w:keepNext/>
              <w:keepLines/>
              <w:spacing w:before="240" w:after="0" w:line="480" w:lineRule="auto"/>
              <w:outlineLvl w:val="0"/>
              <w:rPr>
                <w:rFonts w:ascii="Times New Roman" w:hAnsi="Times New Roman"/>
                <w:color w:val="000000"/>
                <w:sz w:val="24"/>
                <w:szCs w:val="24"/>
              </w:rPr>
            </w:pPr>
          </w:p>
        </w:tc>
      </w:tr>
      <w:tr w:rsidR="00F52936" w:rsidRPr="00A109F2" w:rsidTr="00C21060">
        <w:trPr>
          <w:trHeight w:val="315"/>
        </w:trPr>
        <w:tc>
          <w:tcPr>
            <w:tcW w:w="1005" w:type="dxa"/>
            <w:tcBorders>
              <w:top w:val="nil"/>
              <w:left w:val="single" w:sz="8" w:space="0" w:color="auto"/>
              <w:bottom w:val="single" w:sz="8" w:space="0" w:color="auto"/>
              <w:right w:val="single" w:sz="8" w:space="0" w:color="auto"/>
            </w:tcBorders>
            <w:noWrap/>
            <w:vAlign w:val="bottom"/>
          </w:tcPr>
          <w:p w:rsidR="00F52936" w:rsidRPr="00A109F2" w:rsidRDefault="00F52936" w:rsidP="00C21060">
            <w:pPr>
              <w:spacing w:after="0" w:line="480" w:lineRule="auto"/>
              <w:jc w:val="center"/>
              <w:rPr>
                <w:rFonts w:ascii="Times New Roman" w:hAnsi="Times New Roman"/>
                <w:color w:val="000000"/>
                <w:sz w:val="24"/>
                <w:szCs w:val="24"/>
              </w:rPr>
            </w:pPr>
            <w:bookmarkStart w:id="0" w:name="_Hlk260406656"/>
            <w:r w:rsidRPr="00A109F2">
              <w:rPr>
                <w:rFonts w:ascii="Times New Roman" w:hAnsi="Times New Roman"/>
                <w:color w:val="000000"/>
                <w:sz w:val="24"/>
                <w:szCs w:val="24"/>
              </w:rPr>
              <w:t>C only</w:t>
            </w:r>
          </w:p>
        </w:tc>
        <w:tc>
          <w:tcPr>
            <w:tcW w:w="963" w:type="dxa"/>
            <w:tcBorders>
              <w:top w:val="nil"/>
              <w:left w:val="nil"/>
              <w:bottom w:val="single" w:sz="8" w:space="0" w:color="auto"/>
              <w:right w:val="single" w:sz="8" w:space="0" w:color="auto"/>
            </w:tcBorders>
            <w:shd w:val="clear" w:color="000000" w:fill="000000"/>
            <w:noWrap/>
            <w:vAlign w:val="center"/>
          </w:tcPr>
          <w:p w:rsidR="00F52936" w:rsidRPr="00A109F2" w:rsidRDefault="00F52936" w:rsidP="00C21060">
            <w:pPr>
              <w:spacing w:after="0" w:line="480" w:lineRule="auto"/>
              <w:jc w:val="center"/>
              <w:rPr>
                <w:rFonts w:ascii="Times New Roman" w:hAnsi="Times New Roman"/>
                <w:color w:val="FFFFFF"/>
                <w:sz w:val="24"/>
                <w:szCs w:val="24"/>
              </w:rPr>
            </w:pPr>
            <w:r w:rsidRPr="00A109F2">
              <w:rPr>
                <w:rFonts w:ascii="Times New Roman" w:hAnsi="Times New Roman"/>
                <w:color w:val="FFFFFF"/>
                <w:sz w:val="24"/>
                <w:szCs w:val="24"/>
              </w:rPr>
              <w:t> </w:t>
            </w:r>
          </w:p>
        </w:tc>
        <w:tc>
          <w:tcPr>
            <w:tcW w:w="1552" w:type="dxa"/>
            <w:tcBorders>
              <w:top w:val="nil"/>
              <w:left w:val="nil"/>
              <w:bottom w:val="single" w:sz="8" w:space="0" w:color="auto"/>
              <w:right w:val="single" w:sz="8" w:space="0" w:color="auto"/>
            </w:tcBorders>
            <w:noWrap/>
            <w:vAlign w:val="bottom"/>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 xml:space="preserve">295 </w:t>
            </w:r>
            <w:smartTag w:uri="isiresearchsoft-com/cwyw" w:element="citation">
              <w:r w:rsidRPr="00A109F2">
                <w:rPr>
                  <w:rFonts w:ascii="Times New Roman" w:hAnsi="Times New Roman"/>
                  <w:color w:val="000000"/>
                  <w:sz w:val="24"/>
                  <w:szCs w:val="24"/>
                </w:rPr>
                <w:t>(46.1%)</w:t>
              </w:r>
            </w:smartTag>
          </w:p>
        </w:tc>
        <w:tc>
          <w:tcPr>
            <w:tcW w:w="1440" w:type="dxa"/>
            <w:tcBorders>
              <w:top w:val="nil"/>
              <w:left w:val="nil"/>
              <w:bottom w:val="single" w:sz="8" w:space="0" w:color="auto"/>
              <w:right w:val="nil"/>
            </w:tcBorders>
            <w:noWrap/>
            <w:vAlign w:val="bottom"/>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 xml:space="preserve">29 </w:t>
            </w:r>
            <w:smartTag w:uri="isiresearchsoft-com/cwyw" w:element="citation">
              <w:r w:rsidRPr="00A109F2">
                <w:rPr>
                  <w:rFonts w:ascii="Times New Roman" w:hAnsi="Times New Roman"/>
                  <w:color w:val="000000"/>
                  <w:sz w:val="24"/>
                  <w:szCs w:val="24"/>
                </w:rPr>
                <w:t>(5.4%)</w:t>
              </w:r>
            </w:smartTag>
          </w:p>
        </w:tc>
        <w:tc>
          <w:tcPr>
            <w:tcW w:w="1418" w:type="dxa"/>
            <w:tcBorders>
              <w:top w:val="nil"/>
              <w:left w:val="single" w:sz="8" w:space="0" w:color="auto"/>
              <w:bottom w:val="single" w:sz="8" w:space="0" w:color="auto"/>
              <w:right w:val="single" w:sz="8" w:space="0" w:color="auto"/>
            </w:tcBorders>
            <w:noWrap/>
            <w:vAlign w:val="bottom"/>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 xml:space="preserve">0 </w:t>
            </w:r>
            <w:smartTag w:uri="isiresearchsoft-com/cwyw" w:element="citation">
              <w:r w:rsidRPr="00A109F2">
                <w:rPr>
                  <w:rFonts w:ascii="Times New Roman" w:hAnsi="Times New Roman"/>
                  <w:color w:val="000000"/>
                  <w:sz w:val="24"/>
                  <w:szCs w:val="24"/>
                </w:rPr>
                <w:t>(0%)</w:t>
              </w:r>
            </w:smartTag>
          </w:p>
        </w:tc>
        <w:tc>
          <w:tcPr>
            <w:tcW w:w="1595" w:type="dxa"/>
            <w:tcBorders>
              <w:top w:val="nil"/>
              <w:left w:val="single" w:sz="4" w:space="0" w:color="auto"/>
              <w:bottom w:val="single" w:sz="4" w:space="0" w:color="auto"/>
              <w:right w:val="single" w:sz="4" w:space="0" w:color="auto"/>
            </w:tcBorders>
            <w:noWrap/>
            <w:vAlign w:val="bottom"/>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 xml:space="preserve">0 </w:t>
            </w:r>
            <w:smartTag w:uri="isiresearchsoft-com/cwyw" w:element="citation">
              <w:r w:rsidRPr="00A109F2">
                <w:rPr>
                  <w:rFonts w:ascii="Times New Roman" w:hAnsi="Times New Roman"/>
                  <w:color w:val="000000"/>
                  <w:sz w:val="24"/>
                  <w:szCs w:val="24"/>
                </w:rPr>
                <w:t>(0%)</w:t>
              </w:r>
            </w:smartTag>
          </w:p>
        </w:tc>
        <w:tc>
          <w:tcPr>
            <w:tcW w:w="1710" w:type="dxa"/>
            <w:tcBorders>
              <w:top w:val="nil"/>
              <w:left w:val="nil"/>
              <w:bottom w:val="single" w:sz="4" w:space="0" w:color="auto"/>
              <w:right w:val="single" w:sz="8" w:space="0" w:color="auto"/>
            </w:tcBorders>
            <w:noWrap/>
            <w:vAlign w:val="bottom"/>
          </w:tcPr>
          <w:p w:rsidR="00F52936" w:rsidRPr="00A109F2" w:rsidRDefault="00F52936" w:rsidP="00C21060">
            <w:pPr>
              <w:spacing w:after="0" w:line="480" w:lineRule="auto"/>
              <w:jc w:val="center"/>
              <w:rPr>
                <w:rFonts w:ascii="Times New Roman" w:hAnsi="Times New Roman"/>
                <w:color w:val="000000"/>
                <w:sz w:val="24"/>
                <w:szCs w:val="24"/>
              </w:rPr>
            </w:pPr>
            <w:r>
              <w:rPr>
                <w:rFonts w:ascii="Times New Roman" w:hAnsi="Times New Roman"/>
                <w:color w:val="000000"/>
                <w:sz w:val="24"/>
                <w:szCs w:val="24"/>
              </w:rPr>
              <w:t>0</w:t>
            </w:r>
            <w:r w:rsidRPr="00A109F2">
              <w:rPr>
                <w:rFonts w:ascii="Times New Roman" w:hAnsi="Times New Roman"/>
                <w:color w:val="000000"/>
                <w:sz w:val="24"/>
                <w:szCs w:val="24"/>
              </w:rPr>
              <w:t xml:space="preserve"> (</w:t>
            </w:r>
            <w:r>
              <w:rPr>
                <w:rFonts w:ascii="Times New Roman" w:hAnsi="Times New Roman"/>
                <w:color w:val="000000"/>
                <w:sz w:val="24"/>
                <w:szCs w:val="24"/>
              </w:rPr>
              <w:t>0%)</w:t>
            </w:r>
          </w:p>
        </w:tc>
      </w:tr>
      <w:tr w:rsidR="00F52936" w:rsidRPr="00A109F2" w:rsidTr="00C21060">
        <w:trPr>
          <w:trHeight w:val="315"/>
        </w:trPr>
        <w:tc>
          <w:tcPr>
            <w:tcW w:w="1005" w:type="dxa"/>
            <w:tcBorders>
              <w:top w:val="nil"/>
              <w:left w:val="single" w:sz="8" w:space="0" w:color="auto"/>
              <w:bottom w:val="single" w:sz="8" w:space="0" w:color="auto"/>
              <w:right w:val="single" w:sz="8" w:space="0" w:color="auto"/>
            </w:tcBorders>
            <w:noWrap/>
            <w:vAlign w:val="bottom"/>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C &gt; T</w:t>
            </w:r>
          </w:p>
        </w:tc>
        <w:tc>
          <w:tcPr>
            <w:tcW w:w="963" w:type="dxa"/>
            <w:tcBorders>
              <w:top w:val="nil"/>
              <w:left w:val="nil"/>
              <w:bottom w:val="single" w:sz="8" w:space="0" w:color="auto"/>
              <w:right w:val="single" w:sz="8" w:space="0" w:color="auto"/>
            </w:tcBorders>
            <w:shd w:val="diagStripe" w:color="000000" w:fill="FFFFFF"/>
            <w:noWrap/>
            <w:vAlign w:val="center"/>
          </w:tcPr>
          <w:p w:rsidR="00F52936" w:rsidRPr="00A109F2" w:rsidRDefault="00F52936" w:rsidP="00C21060">
            <w:pPr>
              <w:spacing w:after="0" w:line="480" w:lineRule="auto"/>
              <w:jc w:val="center"/>
              <w:rPr>
                <w:rFonts w:ascii="Times New Roman" w:hAnsi="Times New Roman"/>
                <w:color w:val="FFFFFF"/>
                <w:sz w:val="24"/>
                <w:szCs w:val="24"/>
              </w:rPr>
            </w:pPr>
            <w:r w:rsidRPr="00A109F2">
              <w:rPr>
                <w:rFonts w:ascii="Times New Roman" w:hAnsi="Times New Roman"/>
                <w:color w:val="FFFFFF"/>
                <w:sz w:val="24"/>
                <w:szCs w:val="24"/>
              </w:rPr>
              <w:t> </w:t>
            </w:r>
          </w:p>
        </w:tc>
        <w:tc>
          <w:tcPr>
            <w:tcW w:w="1552" w:type="dxa"/>
            <w:tcBorders>
              <w:top w:val="nil"/>
              <w:left w:val="nil"/>
              <w:bottom w:val="single" w:sz="8" w:space="0" w:color="auto"/>
              <w:right w:val="single" w:sz="8" w:space="0" w:color="auto"/>
            </w:tcBorders>
            <w:noWrap/>
            <w:vAlign w:val="bottom"/>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 xml:space="preserve">239 </w:t>
            </w:r>
            <w:smartTag w:uri="isiresearchsoft-com/cwyw" w:element="citation">
              <w:r w:rsidRPr="00A109F2">
                <w:rPr>
                  <w:rFonts w:ascii="Times New Roman" w:hAnsi="Times New Roman"/>
                  <w:color w:val="000000"/>
                  <w:sz w:val="24"/>
                  <w:szCs w:val="24"/>
                </w:rPr>
                <w:t>(37.4%)</w:t>
              </w:r>
            </w:smartTag>
          </w:p>
        </w:tc>
        <w:tc>
          <w:tcPr>
            <w:tcW w:w="1440" w:type="dxa"/>
            <w:tcBorders>
              <w:top w:val="nil"/>
              <w:left w:val="nil"/>
              <w:bottom w:val="single" w:sz="8" w:space="0" w:color="auto"/>
              <w:right w:val="nil"/>
            </w:tcBorders>
            <w:noWrap/>
            <w:vAlign w:val="bottom"/>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 xml:space="preserve">228 </w:t>
            </w:r>
            <w:smartTag w:uri="isiresearchsoft-com/cwyw" w:element="citation">
              <w:r w:rsidRPr="00A109F2">
                <w:rPr>
                  <w:rFonts w:ascii="Times New Roman" w:hAnsi="Times New Roman"/>
                  <w:color w:val="000000"/>
                  <w:sz w:val="24"/>
                  <w:szCs w:val="24"/>
                </w:rPr>
                <w:t>(42.0%)</w:t>
              </w:r>
            </w:smartTag>
          </w:p>
        </w:tc>
        <w:tc>
          <w:tcPr>
            <w:tcW w:w="1418" w:type="dxa"/>
            <w:tcBorders>
              <w:top w:val="nil"/>
              <w:left w:val="single" w:sz="8" w:space="0" w:color="auto"/>
              <w:bottom w:val="single" w:sz="8" w:space="0" w:color="auto"/>
              <w:right w:val="single" w:sz="8" w:space="0" w:color="auto"/>
            </w:tcBorders>
            <w:noWrap/>
            <w:vAlign w:val="bottom"/>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 xml:space="preserve">27 </w:t>
            </w:r>
            <w:smartTag w:uri="isiresearchsoft-com/cwyw" w:element="citation">
              <w:r w:rsidRPr="00A109F2">
                <w:rPr>
                  <w:rFonts w:ascii="Times New Roman" w:hAnsi="Times New Roman"/>
                  <w:color w:val="000000"/>
                  <w:sz w:val="24"/>
                  <w:szCs w:val="24"/>
                </w:rPr>
                <w:t>(22.7%)</w:t>
              </w:r>
            </w:smartTag>
          </w:p>
        </w:tc>
        <w:tc>
          <w:tcPr>
            <w:tcW w:w="1595" w:type="dxa"/>
            <w:tcBorders>
              <w:top w:val="nil"/>
              <w:left w:val="single" w:sz="4" w:space="0" w:color="auto"/>
              <w:bottom w:val="single" w:sz="4" w:space="0" w:color="auto"/>
              <w:right w:val="single" w:sz="4" w:space="0" w:color="auto"/>
            </w:tcBorders>
            <w:noWrap/>
            <w:vAlign w:val="bottom"/>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 xml:space="preserve">48 </w:t>
            </w:r>
            <w:smartTag w:uri="isiresearchsoft-com/cwyw" w:element="citation">
              <w:r w:rsidRPr="00A109F2">
                <w:rPr>
                  <w:rFonts w:ascii="Times New Roman" w:hAnsi="Times New Roman"/>
                  <w:color w:val="000000"/>
                  <w:sz w:val="24"/>
                  <w:szCs w:val="24"/>
                </w:rPr>
                <w:t>(60%)</w:t>
              </w:r>
            </w:smartTag>
          </w:p>
        </w:tc>
        <w:tc>
          <w:tcPr>
            <w:tcW w:w="1710" w:type="dxa"/>
            <w:tcBorders>
              <w:top w:val="nil"/>
              <w:left w:val="nil"/>
              <w:bottom w:val="single" w:sz="4" w:space="0" w:color="auto"/>
              <w:right w:val="single" w:sz="8" w:space="0" w:color="auto"/>
            </w:tcBorders>
            <w:noWrap/>
            <w:vAlign w:val="bottom"/>
          </w:tcPr>
          <w:p w:rsidR="00F52936" w:rsidRPr="00A109F2" w:rsidRDefault="00F52936" w:rsidP="00C21060">
            <w:pPr>
              <w:spacing w:after="0" w:line="480" w:lineRule="auto"/>
              <w:jc w:val="center"/>
              <w:rPr>
                <w:rFonts w:ascii="Times New Roman" w:hAnsi="Times New Roman"/>
                <w:color w:val="000000"/>
                <w:sz w:val="24"/>
                <w:szCs w:val="24"/>
              </w:rPr>
            </w:pPr>
            <w:r>
              <w:rPr>
                <w:rFonts w:ascii="Times New Roman" w:hAnsi="Times New Roman"/>
                <w:color w:val="000000"/>
                <w:sz w:val="24"/>
                <w:szCs w:val="24"/>
              </w:rPr>
              <w:t>47</w:t>
            </w:r>
            <w:r w:rsidRPr="00A109F2">
              <w:rPr>
                <w:rFonts w:ascii="Times New Roman" w:hAnsi="Times New Roman"/>
                <w:color w:val="000000"/>
                <w:sz w:val="24"/>
                <w:szCs w:val="24"/>
              </w:rPr>
              <w:t xml:space="preserve"> (4</w:t>
            </w:r>
            <w:r>
              <w:rPr>
                <w:rFonts w:ascii="Times New Roman" w:hAnsi="Times New Roman"/>
                <w:color w:val="000000"/>
                <w:sz w:val="24"/>
                <w:szCs w:val="24"/>
              </w:rPr>
              <w:t>8.9</w:t>
            </w:r>
            <w:r w:rsidRPr="00A109F2">
              <w:rPr>
                <w:rFonts w:ascii="Times New Roman" w:hAnsi="Times New Roman"/>
                <w:color w:val="000000"/>
                <w:sz w:val="24"/>
                <w:szCs w:val="24"/>
              </w:rPr>
              <w:t>%)</w:t>
            </w:r>
          </w:p>
        </w:tc>
      </w:tr>
      <w:tr w:rsidR="00F52936" w:rsidRPr="00A109F2" w:rsidTr="00C21060">
        <w:trPr>
          <w:trHeight w:val="315"/>
        </w:trPr>
        <w:tc>
          <w:tcPr>
            <w:tcW w:w="1005" w:type="dxa"/>
            <w:tcBorders>
              <w:top w:val="nil"/>
              <w:left w:val="single" w:sz="8" w:space="0" w:color="auto"/>
              <w:bottom w:val="single" w:sz="8" w:space="0" w:color="auto"/>
              <w:right w:val="single" w:sz="8" w:space="0" w:color="auto"/>
            </w:tcBorders>
            <w:noWrap/>
            <w:vAlign w:val="bottom"/>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C ≤ T</w:t>
            </w:r>
          </w:p>
        </w:tc>
        <w:tc>
          <w:tcPr>
            <w:tcW w:w="963" w:type="dxa"/>
            <w:tcBorders>
              <w:top w:val="nil"/>
              <w:left w:val="nil"/>
              <w:bottom w:val="single" w:sz="8" w:space="0" w:color="auto"/>
              <w:right w:val="single" w:sz="8" w:space="0" w:color="auto"/>
            </w:tcBorders>
            <w:shd w:val="pct12" w:color="000000" w:fill="F2F2F2"/>
            <w:noWrap/>
            <w:vAlign w:val="center"/>
          </w:tcPr>
          <w:p w:rsidR="00F52936" w:rsidRPr="00A109F2" w:rsidRDefault="00F52936" w:rsidP="00C21060">
            <w:pPr>
              <w:spacing w:after="0" w:line="480" w:lineRule="auto"/>
              <w:jc w:val="center"/>
              <w:rPr>
                <w:rFonts w:ascii="Times New Roman" w:hAnsi="Times New Roman"/>
                <w:color w:val="FFFFFF"/>
                <w:sz w:val="24"/>
                <w:szCs w:val="24"/>
              </w:rPr>
            </w:pPr>
            <w:r w:rsidRPr="00A109F2">
              <w:rPr>
                <w:rFonts w:ascii="Times New Roman" w:hAnsi="Times New Roman"/>
                <w:color w:val="FFFFFF"/>
                <w:sz w:val="24"/>
                <w:szCs w:val="24"/>
              </w:rPr>
              <w:t> </w:t>
            </w:r>
          </w:p>
        </w:tc>
        <w:tc>
          <w:tcPr>
            <w:tcW w:w="1552" w:type="dxa"/>
            <w:tcBorders>
              <w:top w:val="nil"/>
              <w:left w:val="nil"/>
              <w:bottom w:val="single" w:sz="8" w:space="0" w:color="auto"/>
              <w:right w:val="single" w:sz="8" w:space="0" w:color="auto"/>
            </w:tcBorders>
            <w:noWrap/>
            <w:vAlign w:val="bottom"/>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 xml:space="preserve">59 </w:t>
            </w:r>
            <w:smartTag w:uri="isiresearchsoft-com/cwyw" w:element="citation">
              <w:r w:rsidRPr="00A109F2">
                <w:rPr>
                  <w:rFonts w:ascii="Times New Roman" w:hAnsi="Times New Roman"/>
                  <w:color w:val="000000"/>
                  <w:sz w:val="24"/>
                  <w:szCs w:val="24"/>
                </w:rPr>
                <w:t>(9.2%)</w:t>
              </w:r>
            </w:smartTag>
          </w:p>
        </w:tc>
        <w:tc>
          <w:tcPr>
            <w:tcW w:w="1440" w:type="dxa"/>
            <w:tcBorders>
              <w:top w:val="nil"/>
              <w:left w:val="nil"/>
              <w:bottom w:val="single" w:sz="8" w:space="0" w:color="auto"/>
              <w:right w:val="nil"/>
            </w:tcBorders>
            <w:noWrap/>
            <w:vAlign w:val="bottom"/>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 xml:space="preserve">161 </w:t>
            </w:r>
            <w:smartTag w:uri="isiresearchsoft-com/cwyw" w:element="citation">
              <w:r w:rsidRPr="00A109F2">
                <w:rPr>
                  <w:rFonts w:ascii="Times New Roman" w:hAnsi="Times New Roman"/>
                  <w:color w:val="000000"/>
                  <w:sz w:val="24"/>
                  <w:szCs w:val="24"/>
                </w:rPr>
                <w:t>(29.7%)</w:t>
              </w:r>
            </w:smartTag>
          </w:p>
        </w:tc>
        <w:tc>
          <w:tcPr>
            <w:tcW w:w="1418" w:type="dxa"/>
            <w:tcBorders>
              <w:top w:val="nil"/>
              <w:left w:val="single" w:sz="8" w:space="0" w:color="auto"/>
              <w:bottom w:val="single" w:sz="8" w:space="0" w:color="auto"/>
              <w:right w:val="single" w:sz="8" w:space="0" w:color="auto"/>
            </w:tcBorders>
            <w:noWrap/>
            <w:vAlign w:val="bottom"/>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 xml:space="preserve">20 </w:t>
            </w:r>
            <w:smartTag w:uri="isiresearchsoft-com/cwyw" w:element="citation">
              <w:r w:rsidRPr="00A109F2">
                <w:rPr>
                  <w:rFonts w:ascii="Times New Roman" w:hAnsi="Times New Roman"/>
                  <w:color w:val="000000"/>
                  <w:sz w:val="24"/>
                  <w:szCs w:val="24"/>
                </w:rPr>
                <w:t>(16.8%)</w:t>
              </w:r>
            </w:smartTag>
          </w:p>
        </w:tc>
        <w:tc>
          <w:tcPr>
            <w:tcW w:w="1595" w:type="dxa"/>
            <w:tcBorders>
              <w:top w:val="nil"/>
              <w:left w:val="single" w:sz="4" w:space="0" w:color="auto"/>
              <w:bottom w:val="single" w:sz="4" w:space="0" w:color="auto"/>
              <w:right w:val="single" w:sz="4" w:space="0" w:color="auto"/>
            </w:tcBorders>
            <w:noWrap/>
            <w:vAlign w:val="bottom"/>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 xml:space="preserve">24 </w:t>
            </w:r>
            <w:smartTag w:uri="isiresearchsoft-com/cwyw" w:element="citation">
              <w:r w:rsidRPr="00A109F2">
                <w:rPr>
                  <w:rFonts w:ascii="Times New Roman" w:hAnsi="Times New Roman"/>
                  <w:color w:val="000000"/>
                  <w:sz w:val="24"/>
                  <w:szCs w:val="24"/>
                </w:rPr>
                <w:t>(30%)</w:t>
              </w:r>
            </w:smartTag>
          </w:p>
        </w:tc>
        <w:tc>
          <w:tcPr>
            <w:tcW w:w="1710" w:type="dxa"/>
            <w:tcBorders>
              <w:top w:val="nil"/>
              <w:left w:val="nil"/>
              <w:bottom w:val="single" w:sz="4" w:space="0" w:color="auto"/>
              <w:right w:val="single" w:sz="8" w:space="0" w:color="auto"/>
            </w:tcBorders>
            <w:noWrap/>
            <w:vAlign w:val="bottom"/>
          </w:tcPr>
          <w:p w:rsidR="00F52936" w:rsidRPr="00A109F2" w:rsidRDefault="00F52936" w:rsidP="00C21060">
            <w:pPr>
              <w:spacing w:after="0" w:line="480" w:lineRule="auto"/>
              <w:jc w:val="center"/>
              <w:rPr>
                <w:rFonts w:ascii="Times New Roman" w:hAnsi="Times New Roman"/>
                <w:color w:val="000000"/>
                <w:sz w:val="24"/>
                <w:szCs w:val="24"/>
              </w:rPr>
            </w:pPr>
            <w:r>
              <w:rPr>
                <w:rFonts w:ascii="Times New Roman" w:hAnsi="Times New Roman"/>
                <w:color w:val="000000"/>
                <w:sz w:val="24"/>
                <w:szCs w:val="24"/>
              </w:rPr>
              <w:t>28</w:t>
            </w:r>
            <w:r w:rsidRPr="00A109F2">
              <w:rPr>
                <w:rFonts w:ascii="Times New Roman" w:hAnsi="Times New Roman"/>
                <w:color w:val="000000"/>
                <w:sz w:val="24"/>
                <w:szCs w:val="24"/>
              </w:rPr>
              <w:t xml:space="preserve"> (29.</w:t>
            </w:r>
            <w:r>
              <w:rPr>
                <w:rFonts w:ascii="Times New Roman" w:hAnsi="Times New Roman"/>
                <w:color w:val="000000"/>
                <w:sz w:val="24"/>
                <w:szCs w:val="24"/>
              </w:rPr>
              <w:t>1</w:t>
            </w:r>
            <w:r w:rsidRPr="00A109F2">
              <w:rPr>
                <w:rFonts w:ascii="Times New Roman" w:hAnsi="Times New Roman"/>
                <w:color w:val="000000"/>
                <w:sz w:val="24"/>
                <w:szCs w:val="24"/>
              </w:rPr>
              <w:t>%)</w:t>
            </w:r>
          </w:p>
        </w:tc>
      </w:tr>
      <w:tr w:rsidR="00F52936" w:rsidRPr="00A109F2" w:rsidTr="00C21060">
        <w:trPr>
          <w:trHeight w:val="315"/>
        </w:trPr>
        <w:tc>
          <w:tcPr>
            <w:tcW w:w="1005" w:type="dxa"/>
            <w:tcBorders>
              <w:top w:val="nil"/>
              <w:left w:val="single" w:sz="8" w:space="0" w:color="auto"/>
              <w:bottom w:val="single" w:sz="8" w:space="0" w:color="auto"/>
              <w:right w:val="single" w:sz="8" w:space="0" w:color="auto"/>
            </w:tcBorders>
            <w:noWrap/>
            <w:vAlign w:val="bottom"/>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T only</w:t>
            </w:r>
          </w:p>
        </w:tc>
        <w:tc>
          <w:tcPr>
            <w:tcW w:w="963" w:type="dxa"/>
            <w:tcBorders>
              <w:top w:val="nil"/>
              <w:left w:val="nil"/>
              <w:bottom w:val="single" w:sz="8" w:space="0" w:color="auto"/>
              <w:right w:val="single" w:sz="8" w:space="0" w:color="auto"/>
            </w:tcBorders>
            <w:noWrap/>
            <w:vAlign w:val="bottom"/>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 </w:t>
            </w:r>
          </w:p>
        </w:tc>
        <w:tc>
          <w:tcPr>
            <w:tcW w:w="1552" w:type="dxa"/>
            <w:tcBorders>
              <w:top w:val="nil"/>
              <w:left w:val="nil"/>
              <w:bottom w:val="single" w:sz="8" w:space="0" w:color="auto"/>
              <w:right w:val="single" w:sz="8" w:space="0" w:color="auto"/>
            </w:tcBorders>
            <w:noWrap/>
            <w:vAlign w:val="bottom"/>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 xml:space="preserve">47 </w:t>
            </w:r>
            <w:smartTag w:uri="isiresearchsoft-com/cwyw" w:element="citation">
              <w:r w:rsidRPr="00A109F2">
                <w:rPr>
                  <w:rFonts w:ascii="Times New Roman" w:hAnsi="Times New Roman"/>
                  <w:color w:val="000000"/>
                  <w:sz w:val="24"/>
                  <w:szCs w:val="24"/>
                </w:rPr>
                <w:t>(7.3%)</w:t>
              </w:r>
            </w:smartTag>
          </w:p>
        </w:tc>
        <w:tc>
          <w:tcPr>
            <w:tcW w:w="1440" w:type="dxa"/>
            <w:tcBorders>
              <w:top w:val="nil"/>
              <w:left w:val="nil"/>
              <w:bottom w:val="single" w:sz="8" w:space="0" w:color="auto"/>
              <w:right w:val="nil"/>
            </w:tcBorders>
            <w:noWrap/>
            <w:vAlign w:val="bottom"/>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 xml:space="preserve">124 </w:t>
            </w:r>
            <w:smartTag w:uri="isiresearchsoft-com/cwyw" w:element="citation">
              <w:r w:rsidRPr="00A109F2">
                <w:rPr>
                  <w:rFonts w:ascii="Times New Roman" w:hAnsi="Times New Roman"/>
                  <w:color w:val="000000"/>
                  <w:sz w:val="24"/>
                  <w:szCs w:val="24"/>
                </w:rPr>
                <w:t>(22.9%)</w:t>
              </w:r>
            </w:smartTag>
          </w:p>
        </w:tc>
        <w:tc>
          <w:tcPr>
            <w:tcW w:w="1418" w:type="dxa"/>
            <w:tcBorders>
              <w:top w:val="nil"/>
              <w:left w:val="single" w:sz="8" w:space="0" w:color="auto"/>
              <w:bottom w:val="single" w:sz="8" w:space="0" w:color="auto"/>
              <w:right w:val="single" w:sz="8" w:space="0" w:color="auto"/>
            </w:tcBorders>
            <w:noWrap/>
            <w:vAlign w:val="bottom"/>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 xml:space="preserve">72 </w:t>
            </w:r>
            <w:smartTag w:uri="isiresearchsoft-com/cwyw" w:element="citation">
              <w:r w:rsidRPr="00A109F2">
                <w:rPr>
                  <w:rFonts w:ascii="Times New Roman" w:hAnsi="Times New Roman"/>
                  <w:color w:val="000000"/>
                  <w:sz w:val="24"/>
                  <w:szCs w:val="24"/>
                </w:rPr>
                <w:t>(60.5%)</w:t>
              </w:r>
            </w:smartTag>
          </w:p>
        </w:tc>
        <w:tc>
          <w:tcPr>
            <w:tcW w:w="1595" w:type="dxa"/>
            <w:tcBorders>
              <w:top w:val="nil"/>
              <w:left w:val="single" w:sz="4" w:space="0" w:color="auto"/>
              <w:bottom w:val="single" w:sz="4" w:space="0" w:color="auto"/>
              <w:right w:val="single" w:sz="4" w:space="0" w:color="auto"/>
            </w:tcBorders>
            <w:noWrap/>
            <w:vAlign w:val="bottom"/>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 xml:space="preserve">8 </w:t>
            </w:r>
            <w:smartTag w:uri="isiresearchsoft-com/cwyw" w:element="citation">
              <w:r w:rsidRPr="00A109F2">
                <w:rPr>
                  <w:rFonts w:ascii="Times New Roman" w:hAnsi="Times New Roman"/>
                  <w:color w:val="000000"/>
                  <w:sz w:val="24"/>
                  <w:szCs w:val="24"/>
                </w:rPr>
                <w:t>(10%)</w:t>
              </w:r>
            </w:smartTag>
          </w:p>
        </w:tc>
        <w:tc>
          <w:tcPr>
            <w:tcW w:w="1710" w:type="dxa"/>
            <w:tcBorders>
              <w:top w:val="nil"/>
              <w:left w:val="nil"/>
              <w:bottom w:val="single" w:sz="4" w:space="0" w:color="auto"/>
              <w:right w:val="single" w:sz="8" w:space="0" w:color="auto"/>
            </w:tcBorders>
            <w:noWrap/>
            <w:vAlign w:val="bottom"/>
          </w:tcPr>
          <w:p w:rsidR="00F52936" w:rsidRPr="00A109F2" w:rsidRDefault="00F52936" w:rsidP="00C21060">
            <w:pPr>
              <w:spacing w:after="0" w:line="480" w:lineRule="auto"/>
              <w:jc w:val="center"/>
              <w:rPr>
                <w:rFonts w:ascii="Times New Roman" w:hAnsi="Times New Roman"/>
                <w:color w:val="000000"/>
                <w:sz w:val="24"/>
                <w:szCs w:val="24"/>
              </w:rPr>
            </w:pPr>
            <w:r>
              <w:rPr>
                <w:rFonts w:ascii="Times New Roman" w:hAnsi="Times New Roman"/>
                <w:color w:val="000000"/>
                <w:sz w:val="24"/>
                <w:szCs w:val="24"/>
              </w:rPr>
              <w:t>21</w:t>
            </w:r>
            <w:r w:rsidRPr="00A109F2">
              <w:rPr>
                <w:rFonts w:ascii="Times New Roman" w:hAnsi="Times New Roman"/>
                <w:color w:val="000000"/>
                <w:sz w:val="24"/>
                <w:szCs w:val="24"/>
              </w:rPr>
              <w:t>(2</w:t>
            </w:r>
            <w:r>
              <w:rPr>
                <w:rFonts w:ascii="Times New Roman" w:hAnsi="Times New Roman"/>
                <w:color w:val="000000"/>
                <w:sz w:val="24"/>
                <w:szCs w:val="24"/>
              </w:rPr>
              <w:t>1.8</w:t>
            </w:r>
            <w:r w:rsidRPr="00A109F2">
              <w:rPr>
                <w:rFonts w:ascii="Times New Roman" w:hAnsi="Times New Roman"/>
                <w:color w:val="000000"/>
                <w:sz w:val="24"/>
                <w:szCs w:val="24"/>
              </w:rPr>
              <w:t>%)</w:t>
            </w:r>
          </w:p>
        </w:tc>
      </w:tr>
      <w:tr w:rsidR="00F52936" w:rsidRPr="00A109F2" w:rsidTr="00C21060">
        <w:trPr>
          <w:trHeight w:val="315"/>
        </w:trPr>
        <w:tc>
          <w:tcPr>
            <w:tcW w:w="1005" w:type="dxa"/>
            <w:tcBorders>
              <w:top w:val="nil"/>
              <w:left w:val="single" w:sz="8" w:space="0" w:color="auto"/>
              <w:bottom w:val="single" w:sz="8" w:space="0" w:color="auto"/>
              <w:right w:val="single" w:sz="8" w:space="0" w:color="auto"/>
            </w:tcBorders>
            <w:noWrap/>
            <w:vAlign w:val="bottom"/>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Total**</w:t>
            </w:r>
          </w:p>
        </w:tc>
        <w:tc>
          <w:tcPr>
            <w:tcW w:w="963" w:type="dxa"/>
            <w:tcBorders>
              <w:top w:val="nil"/>
              <w:left w:val="nil"/>
              <w:bottom w:val="single" w:sz="8" w:space="0" w:color="auto"/>
              <w:right w:val="single" w:sz="8" w:space="0" w:color="auto"/>
            </w:tcBorders>
            <w:noWrap/>
            <w:vAlign w:val="bottom"/>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 </w:t>
            </w:r>
          </w:p>
        </w:tc>
        <w:tc>
          <w:tcPr>
            <w:tcW w:w="1552" w:type="dxa"/>
            <w:tcBorders>
              <w:top w:val="nil"/>
              <w:left w:val="nil"/>
              <w:bottom w:val="single" w:sz="8" w:space="0" w:color="auto"/>
              <w:right w:val="single" w:sz="8" w:space="0" w:color="auto"/>
            </w:tcBorders>
            <w:noWrap/>
            <w:vAlign w:val="bottom"/>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640</w:t>
            </w:r>
          </w:p>
        </w:tc>
        <w:tc>
          <w:tcPr>
            <w:tcW w:w="1440" w:type="dxa"/>
            <w:tcBorders>
              <w:top w:val="nil"/>
              <w:left w:val="nil"/>
              <w:bottom w:val="single" w:sz="8" w:space="0" w:color="auto"/>
              <w:right w:val="nil"/>
            </w:tcBorders>
            <w:noWrap/>
            <w:vAlign w:val="bottom"/>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542</w:t>
            </w:r>
          </w:p>
        </w:tc>
        <w:tc>
          <w:tcPr>
            <w:tcW w:w="1418" w:type="dxa"/>
            <w:tcBorders>
              <w:top w:val="nil"/>
              <w:left w:val="single" w:sz="8" w:space="0" w:color="auto"/>
              <w:bottom w:val="single" w:sz="8" w:space="0" w:color="auto"/>
              <w:right w:val="single" w:sz="8" w:space="0" w:color="auto"/>
            </w:tcBorders>
            <w:noWrap/>
            <w:vAlign w:val="bottom"/>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119</w:t>
            </w:r>
          </w:p>
        </w:tc>
        <w:tc>
          <w:tcPr>
            <w:tcW w:w="1595" w:type="dxa"/>
            <w:tcBorders>
              <w:top w:val="nil"/>
              <w:left w:val="single" w:sz="4" w:space="0" w:color="auto"/>
              <w:bottom w:val="single" w:sz="8" w:space="0" w:color="auto"/>
              <w:right w:val="single" w:sz="4" w:space="0" w:color="auto"/>
            </w:tcBorders>
            <w:noWrap/>
            <w:vAlign w:val="bottom"/>
          </w:tcPr>
          <w:p w:rsidR="00F52936" w:rsidRPr="00A109F2" w:rsidRDefault="00F52936" w:rsidP="00C21060">
            <w:pPr>
              <w:spacing w:after="0" w:line="480" w:lineRule="auto"/>
              <w:jc w:val="center"/>
              <w:rPr>
                <w:rFonts w:ascii="Times New Roman" w:hAnsi="Times New Roman"/>
                <w:color w:val="000000"/>
                <w:sz w:val="24"/>
                <w:szCs w:val="24"/>
              </w:rPr>
            </w:pPr>
            <w:r w:rsidRPr="00A109F2">
              <w:rPr>
                <w:rFonts w:ascii="Times New Roman" w:hAnsi="Times New Roman"/>
                <w:color w:val="000000"/>
                <w:sz w:val="24"/>
                <w:szCs w:val="24"/>
              </w:rPr>
              <w:t>80</w:t>
            </w:r>
          </w:p>
        </w:tc>
        <w:tc>
          <w:tcPr>
            <w:tcW w:w="1710" w:type="dxa"/>
            <w:tcBorders>
              <w:top w:val="nil"/>
              <w:left w:val="nil"/>
              <w:bottom w:val="single" w:sz="8" w:space="0" w:color="auto"/>
              <w:right w:val="single" w:sz="8" w:space="0" w:color="auto"/>
            </w:tcBorders>
            <w:noWrap/>
            <w:vAlign w:val="bottom"/>
          </w:tcPr>
          <w:p w:rsidR="00F52936" w:rsidRPr="00A109F2" w:rsidRDefault="00F52936" w:rsidP="00C21060">
            <w:pPr>
              <w:spacing w:after="0" w:line="480" w:lineRule="auto"/>
              <w:jc w:val="center"/>
              <w:rPr>
                <w:rFonts w:ascii="Times New Roman" w:hAnsi="Times New Roman"/>
                <w:color w:val="000000"/>
                <w:sz w:val="24"/>
                <w:szCs w:val="24"/>
              </w:rPr>
            </w:pPr>
            <w:r>
              <w:rPr>
                <w:rFonts w:ascii="Times New Roman" w:hAnsi="Times New Roman"/>
                <w:color w:val="000000"/>
                <w:sz w:val="24"/>
                <w:szCs w:val="24"/>
              </w:rPr>
              <w:t>96</w:t>
            </w:r>
          </w:p>
        </w:tc>
      </w:tr>
    </w:tbl>
    <w:bookmarkEnd w:id="0"/>
    <w:p w:rsidR="00F52936" w:rsidRPr="00A109F2" w:rsidRDefault="00F52936" w:rsidP="00F52936">
      <w:pPr>
        <w:spacing w:line="480" w:lineRule="auto"/>
        <w:rPr>
          <w:rFonts w:ascii="Times New Roman" w:hAnsi="Times New Roman"/>
          <w:color w:val="000000"/>
          <w:sz w:val="24"/>
          <w:szCs w:val="24"/>
        </w:rPr>
      </w:pPr>
      <w:r w:rsidRPr="00A109F2">
        <w:rPr>
          <w:rFonts w:ascii="Times New Roman" w:hAnsi="Times New Roman"/>
          <w:b/>
          <w:sz w:val="24"/>
          <w:szCs w:val="24"/>
        </w:rPr>
        <w:t>*</w:t>
      </w:r>
      <w:r w:rsidRPr="00A109F2">
        <w:rPr>
          <w:rFonts w:ascii="Times New Roman" w:hAnsi="Times New Roman"/>
          <w:sz w:val="24"/>
          <w:szCs w:val="24"/>
        </w:rPr>
        <w:t xml:space="preserve">The symbol and analysis of the methylation status of the CpG sites are described in Figure 1B. The percent of </w:t>
      </w:r>
      <w:r w:rsidRPr="00A109F2">
        <w:rPr>
          <w:rFonts w:ascii="Times New Roman" w:hAnsi="Times New Roman"/>
          <w:color w:val="000000"/>
          <w:sz w:val="24"/>
          <w:szCs w:val="24"/>
          <w:vertAlign w:val="superscript"/>
        </w:rPr>
        <w:t>m</w:t>
      </w:r>
      <w:r w:rsidRPr="00A109F2">
        <w:rPr>
          <w:rFonts w:ascii="Times New Roman" w:hAnsi="Times New Roman"/>
          <w:sz w:val="24"/>
          <w:szCs w:val="24"/>
        </w:rPr>
        <w:t>CpG detected is calculated from the number of each category per pathological group.  For example, 295 CpG sites were detected as “C only, filled box” among the total 640 sites analyzed in the HCC group (Fig. 2); thus, the percent of “C only” is 46.2% in the HCC group.</w:t>
      </w:r>
      <w:r w:rsidRPr="00A109F2">
        <w:rPr>
          <w:rFonts w:ascii="Times New Roman" w:hAnsi="Times New Roman"/>
          <w:color w:val="000000"/>
          <w:sz w:val="24"/>
          <w:szCs w:val="24"/>
        </w:rPr>
        <w:t xml:space="preserve">   </w:t>
      </w:r>
    </w:p>
    <w:p w:rsidR="00F52936" w:rsidRPr="00A109F2" w:rsidRDefault="00F52936" w:rsidP="00F52936">
      <w:pPr>
        <w:spacing w:line="480" w:lineRule="auto"/>
        <w:rPr>
          <w:rFonts w:ascii="Times New Roman" w:hAnsi="Times New Roman"/>
          <w:color w:val="000000"/>
          <w:sz w:val="24"/>
          <w:szCs w:val="24"/>
        </w:rPr>
      </w:pPr>
      <w:r w:rsidRPr="00A109F2">
        <w:rPr>
          <w:rFonts w:ascii="Times New Roman" w:hAnsi="Times New Roman"/>
          <w:color w:val="000000"/>
          <w:sz w:val="24"/>
          <w:szCs w:val="24"/>
        </w:rPr>
        <w:t>**Total number of CpG sites analyzed.</w:t>
      </w:r>
    </w:p>
    <w:p w:rsidR="00F52936" w:rsidRPr="00A109F2" w:rsidRDefault="00F52936" w:rsidP="00F52936">
      <w:pPr>
        <w:spacing w:after="0" w:line="480" w:lineRule="auto"/>
        <w:rPr>
          <w:rFonts w:ascii="Times New Roman" w:hAnsi="Times New Roman"/>
          <w:sz w:val="24"/>
          <w:szCs w:val="24"/>
        </w:rPr>
      </w:pPr>
      <w:r w:rsidRPr="00A109F2">
        <w:rPr>
          <w:rFonts w:ascii="Times New Roman" w:hAnsi="Times New Roman"/>
          <w:i/>
          <w:color w:val="000000"/>
          <w:sz w:val="24"/>
          <w:szCs w:val="24"/>
        </w:rPr>
        <w:t>APC</w:t>
      </w:r>
      <w:r w:rsidRPr="00A109F2">
        <w:rPr>
          <w:rFonts w:ascii="Times New Roman" w:hAnsi="Times New Roman"/>
          <w:color w:val="000000"/>
          <w:sz w:val="24"/>
          <w:szCs w:val="24"/>
        </w:rPr>
        <w:t xml:space="preserve">, </w:t>
      </w:r>
      <w:r w:rsidRPr="00A109F2">
        <w:rPr>
          <w:rFonts w:ascii="Times New Roman" w:hAnsi="Times New Roman"/>
          <w:sz w:val="24"/>
          <w:szCs w:val="24"/>
        </w:rPr>
        <w:t>adenomatous polyposis coli;</w:t>
      </w:r>
      <w:r w:rsidRPr="00A109F2">
        <w:rPr>
          <w:rFonts w:ascii="Times New Roman" w:hAnsi="Times New Roman"/>
          <w:b/>
          <w:sz w:val="24"/>
          <w:szCs w:val="24"/>
        </w:rPr>
        <w:t xml:space="preserve"> </w:t>
      </w:r>
      <w:r w:rsidRPr="00A109F2">
        <w:rPr>
          <w:rFonts w:ascii="Times New Roman" w:hAnsi="Times New Roman"/>
          <w:color w:val="000000"/>
          <w:sz w:val="24"/>
          <w:szCs w:val="24"/>
        </w:rPr>
        <w:t xml:space="preserve">HCC, hepatocellular carcinoma; </w:t>
      </w:r>
      <w:r w:rsidRPr="00A109F2">
        <w:rPr>
          <w:rFonts w:ascii="Times New Roman" w:hAnsi="Times New Roman"/>
          <w:sz w:val="24"/>
          <w:szCs w:val="24"/>
          <w:vertAlign w:val="superscript"/>
        </w:rPr>
        <w:t>m</w:t>
      </w:r>
      <w:r w:rsidRPr="00A109F2">
        <w:rPr>
          <w:rFonts w:ascii="Times New Roman" w:hAnsi="Times New Roman"/>
          <w:bCs/>
          <w:sz w:val="24"/>
          <w:szCs w:val="24"/>
        </w:rPr>
        <w:t>CpG, methylated cytosine in a CpG dinucleotide</w:t>
      </w:r>
    </w:p>
    <w:p w:rsidR="00394AA3" w:rsidRDefault="007352B8"/>
    <w:sectPr w:rsidR="00394AA3" w:rsidSect="00B632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compat/>
  <w:rsids>
    <w:rsidRoot w:val="00F52936"/>
    <w:rsid w:val="001917A1"/>
    <w:rsid w:val="002D0D2B"/>
    <w:rsid w:val="00320C76"/>
    <w:rsid w:val="003B60CD"/>
    <w:rsid w:val="003C12CE"/>
    <w:rsid w:val="005E2427"/>
    <w:rsid w:val="007352B8"/>
    <w:rsid w:val="00950D97"/>
    <w:rsid w:val="009546F4"/>
    <w:rsid w:val="009A27BB"/>
    <w:rsid w:val="009D3296"/>
    <w:rsid w:val="00A4778D"/>
    <w:rsid w:val="00B63289"/>
    <w:rsid w:val="00CB5FC0"/>
    <w:rsid w:val="00DA3ADC"/>
    <w:rsid w:val="00F52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936"/>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759</Characters>
  <Application>Microsoft Office Word</Application>
  <DocSecurity>0</DocSecurity>
  <Lines>6</Lines>
  <Paragraphs>1</Paragraphs>
  <ScaleCrop>false</ScaleCrop>
  <Company>Drexel  University</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surbhi</dc:creator>
  <cp:keywords/>
  <dc:description/>
  <cp:lastModifiedBy>surbhi</cp:lastModifiedBy>
  <cp:revision>2</cp:revision>
  <dcterms:created xsi:type="dcterms:W3CDTF">2011-10-11T17:39:00Z</dcterms:created>
  <dcterms:modified xsi:type="dcterms:W3CDTF">2011-10-12T21:04:00Z</dcterms:modified>
</cp:coreProperties>
</file>