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04" w:rsidRPr="00F23F62" w:rsidRDefault="008B3B04" w:rsidP="00F23F62">
      <w:pPr>
        <w:spacing w:line="276" w:lineRule="auto"/>
        <w:jc w:val="center"/>
        <w:rPr>
          <w:b/>
          <w:sz w:val="22"/>
          <w:szCs w:val="22"/>
        </w:rPr>
      </w:pPr>
      <w:r w:rsidRPr="00F23F62">
        <w:rPr>
          <w:b/>
          <w:sz w:val="22"/>
          <w:szCs w:val="22"/>
        </w:rPr>
        <w:t>ONLINE DATA SUPPLEMENT</w:t>
      </w:r>
    </w:p>
    <w:p w:rsidR="008B3B04" w:rsidRPr="00F23F62" w:rsidRDefault="008B3B04" w:rsidP="00F23F62">
      <w:pPr>
        <w:spacing w:line="276" w:lineRule="auto"/>
        <w:jc w:val="center"/>
        <w:rPr>
          <w:b/>
          <w:sz w:val="22"/>
          <w:szCs w:val="22"/>
        </w:rPr>
      </w:pPr>
    </w:p>
    <w:p w:rsidR="008B3B04" w:rsidRPr="00F23F62" w:rsidRDefault="008B3B04" w:rsidP="00F23F62">
      <w:pPr>
        <w:spacing w:line="276" w:lineRule="auto"/>
        <w:jc w:val="center"/>
        <w:rPr>
          <w:b/>
          <w:sz w:val="22"/>
          <w:szCs w:val="22"/>
        </w:rPr>
      </w:pPr>
    </w:p>
    <w:p w:rsidR="008B3B04" w:rsidRPr="00F23F62" w:rsidRDefault="008B3B04" w:rsidP="00F23F62">
      <w:pPr>
        <w:spacing w:line="276" w:lineRule="auto"/>
        <w:rPr>
          <w:b/>
          <w:sz w:val="22"/>
          <w:szCs w:val="22"/>
        </w:rPr>
      </w:pPr>
    </w:p>
    <w:p w:rsidR="008B3B04" w:rsidRPr="00F23F62" w:rsidRDefault="008B3B04" w:rsidP="00F23F62">
      <w:pPr>
        <w:spacing w:line="276" w:lineRule="auto"/>
        <w:jc w:val="center"/>
        <w:rPr>
          <w:b/>
          <w:sz w:val="22"/>
          <w:szCs w:val="22"/>
        </w:rPr>
      </w:pPr>
      <w:r w:rsidRPr="00F23F62">
        <w:rPr>
          <w:b/>
          <w:sz w:val="22"/>
          <w:szCs w:val="22"/>
        </w:rPr>
        <w:t>Maternal Synchronization of Gestational Length and Lung Maturation</w:t>
      </w:r>
    </w:p>
    <w:p w:rsidR="008B3B04" w:rsidRPr="00F23F62" w:rsidRDefault="008B3B04" w:rsidP="00F23F62">
      <w:pPr>
        <w:spacing w:line="276" w:lineRule="auto"/>
        <w:jc w:val="center"/>
        <w:rPr>
          <w:b/>
          <w:sz w:val="22"/>
          <w:szCs w:val="22"/>
        </w:rPr>
      </w:pPr>
    </w:p>
    <w:p w:rsidR="008B3B04" w:rsidRPr="00F23F62" w:rsidRDefault="008B3B04" w:rsidP="00F23F62">
      <w:pPr>
        <w:spacing w:line="276" w:lineRule="auto"/>
        <w:jc w:val="center"/>
        <w:rPr>
          <w:b/>
          <w:sz w:val="22"/>
          <w:szCs w:val="22"/>
        </w:rPr>
      </w:pPr>
    </w:p>
    <w:p w:rsidR="008B3B04" w:rsidRPr="00F23F62" w:rsidRDefault="008B3B04" w:rsidP="00F23F62">
      <w:pPr>
        <w:keepNext/>
        <w:keepLines/>
        <w:widowControl w:val="0"/>
        <w:spacing w:line="276" w:lineRule="auto"/>
        <w:jc w:val="center"/>
        <w:rPr>
          <w:sz w:val="22"/>
          <w:szCs w:val="22"/>
        </w:rPr>
      </w:pPr>
      <w:r w:rsidRPr="00F23F62">
        <w:rPr>
          <w:sz w:val="22"/>
          <w:szCs w:val="22"/>
        </w:rPr>
        <w:t>Valérie Besnard</w:t>
      </w:r>
    </w:p>
    <w:p w:rsidR="008B3B04" w:rsidRPr="00F23F62" w:rsidRDefault="008B3B04" w:rsidP="00F23F62">
      <w:pPr>
        <w:keepNext/>
        <w:keepLines/>
        <w:widowControl w:val="0"/>
        <w:spacing w:line="276" w:lineRule="auto"/>
        <w:jc w:val="center"/>
        <w:rPr>
          <w:sz w:val="22"/>
          <w:szCs w:val="22"/>
        </w:rPr>
      </w:pPr>
      <w:r w:rsidRPr="00F23F62">
        <w:rPr>
          <w:sz w:val="22"/>
          <w:szCs w:val="22"/>
        </w:rPr>
        <w:t>Susan E. Wert</w:t>
      </w:r>
    </w:p>
    <w:p w:rsidR="008B3B04" w:rsidRPr="00F23F62" w:rsidRDefault="008B3B04" w:rsidP="00F23F62">
      <w:pPr>
        <w:keepNext/>
        <w:keepLines/>
        <w:widowControl w:val="0"/>
        <w:spacing w:line="276" w:lineRule="auto"/>
        <w:jc w:val="center"/>
        <w:rPr>
          <w:sz w:val="22"/>
          <w:szCs w:val="22"/>
        </w:rPr>
      </w:pPr>
      <w:r w:rsidRPr="00F23F62">
        <w:rPr>
          <w:sz w:val="22"/>
          <w:szCs w:val="22"/>
        </w:rPr>
        <w:t>Machiko Ikegami</w:t>
      </w:r>
    </w:p>
    <w:p w:rsidR="008B3B04" w:rsidRPr="00F23F62" w:rsidRDefault="008B3B04" w:rsidP="00F23F62">
      <w:pPr>
        <w:keepNext/>
        <w:keepLines/>
        <w:widowControl w:val="0"/>
        <w:spacing w:line="276" w:lineRule="auto"/>
        <w:jc w:val="center"/>
        <w:rPr>
          <w:sz w:val="22"/>
          <w:szCs w:val="22"/>
        </w:rPr>
      </w:pPr>
      <w:r w:rsidRPr="00F23F62">
        <w:rPr>
          <w:sz w:val="22"/>
          <w:szCs w:val="22"/>
        </w:rPr>
        <w:t>Yan Xu</w:t>
      </w:r>
    </w:p>
    <w:p w:rsidR="008B3B04" w:rsidRPr="00F23F62" w:rsidRDefault="008B3B04" w:rsidP="00F23F62">
      <w:pPr>
        <w:keepNext/>
        <w:keepLines/>
        <w:widowControl w:val="0"/>
        <w:spacing w:line="276" w:lineRule="auto"/>
        <w:jc w:val="center"/>
        <w:rPr>
          <w:sz w:val="22"/>
          <w:szCs w:val="22"/>
        </w:rPr>
      </w:pPr>
      <w:r w:rsidRPr="00F23F62">
        <w:rPr>
          <w:sz w:val="22"/>
          <w:szCs w:val="22"/>
        </w:rPr>
        <w:t>Caleb Heffner</w:t>
      </w:r>
    </w:p>
    <w:p w:rsidR="008B3B04" w:rsidRPr="00F23F62" w:rsidRDefault="008B3B04" w:rsidP="00F23F62">
      <w:pPr>
        <w:keepNext/>
        <w:keepLines/>
        <w:widowControl w:val="0"/>
        <w:spacing w:line="276" w:lineRule="auto"/>
        <w:jc w:val="center"/>
        <w:rPr>
          <w:sz w:val="22"/>
          <w:szCs w:val="22"/>
        </w:rPr>
      </w:pPr>
      <w:r w:rsidRPr="00F23F62">
        <w:rPr>
          <w:sz w:val="22"/>
          <w:szCs w:val="22"/>
        </w:rPr>
        <w:t>Stephen A. Murray</w:t>
      </w:r>
    </w:p>
    <w:p w:rsidR="008B3B04" w:rsidRPr="00F23F62" w:rsidRDefault="008B3B04" w:rsidP="00F23F62">
      <w:pPr>
        <w:keepNext/>
        <w:keepLines/>
        <w:widowControl w:val="0"/>
        <w:spacing w:line="276" w:lineRule="auto"/>
        <w:jc w:val="center"/>
        <w:rPr>
          <w:sz w:val="22"/>
          <w:szCs w:val="22"/>
        </w:rPr>
      </w:pPr>
      <w:r w:rsidRPr="00F23F62">
        <w:rPr>
          <w:sz w:val="22"/>
          <w:szCs w:val="22"/>
        </w:rPr>
        <w:t>Leah Rae Donahue</w:t>
      </w:r>
    </w:p>
    <w:p w:rsidR="008B3B04" w:rsidRPr="00F23F62" w:rsidRDefault="008B3B04" w:rsidP="00F23F62">
      <w:pPr>
        <w:keepNext/>
        <w:keepLines/>
        <w:widowControl w:val="0"/>
        <w:spacing w:line="276" w:lineRule="auto"/>
        <w:jc w:val="center"/>
        <w:rPr>
          <w:sz w:val="22"/>
          <w:szCs w:val="22"/>
        </w:rPr>
      </w:pPr>
      <w:r w:rsidRPr="00F23F62">
        <w:rPr>
          <w:sz w:val="22"/>
          <w:szCs w:val="22"/>
        </w:rPr>
        <w:t>Jeffrey A. Whitsett</w:t>
      </w:r>
    </w:p>
    <w:p w:rsidR="008B3B04" w:rsidRPr="00F23F62" w:rsidRDefault="008B3B04" w:rsidP="00F23F62">
      <w:pPr>
        <w:spacing w:line="276" w:lineRule="auto"/>
        <w:jc w:val="center"/>
        <w:rPr>
          <w:sz w:val="22"/>
          <w:szCs w:val="22"/>
        </w:rPr>
      </w:pPr>
    </w:p>
    <w:p w:rsidR="003A334B" w:rsidRPr="00F23F62" w:rsidRDefault="008B3B04" w:rsidP="00F23F62">
      <w:pPr>
        <w:spacing w:after="200" w:line="276" w:lineRule="auto"/>
        <w:rPr>
          <w:b/>
          <w:color w:val="000000"/>
          <w:sz w:val="22"/>
          <w:szCs w:val="22"/>
        </w:rPr>
      </w:pPr>
      <w:r w:rsidRPr="00F23F62">
        <w:rPr>
          <w:b/>
          <w:color w:val="000000"/>
          <w:sz w:val="22"/>
          <w:szCs w:val="22"/>
        </w:rPr>
        <w:br w:type="page"/>
      </w:r>
      <w:r w:rsidR="0060045E" w:rsidRPr="00F23F62">
        <w:rPr>
          <w:b/>
          <w:color w:val="000000"/>
          <w:sz w:val="22"/>
          <w:szCs w:val="22"/>
        </w:rPr>
        <w:t>Material and Methods</w:t>
      </w:r>
    </w:p>
    <w:p w:rsidR="003A334B" w:rsidRPr="00F23F62" w:rsidRDefault="003A334B" w:rsidP="00F23F62">
      <w:pPr>
        <w:spacing w:after="200" w:line="276" w:lineRule="auto"/>
        <w:jc w:val="both"/>
        <w:rPr>
          <w:b/>
          <w:color w:val="000000"/>
          <w:sz w:val="22"/>
          <w:szCs w:val="22"/>
        </w:rPr>
      </w:pPr>
      <w:r w:rsidRPr="00F23F62">
        <w:rPr>
          <w:rStyle w:val="Strong"/>
          <w:sz w:val="22"/>
          <w:szCs w:val="22"/>
        </w:rPr>
        <w:t xml:space="preserve">Lung RNA </w:t>
      </w:r>
      <w:r w:rsidR="00F23F62" w:rsidRPr="00F23F62">
        <w:rPr>
          <w:rStyle w:val="Strong"/>
          <w:sz w:val="22"/>
          <w:szCs w:val="22"/>
        </w:rPr>
        <w:t>extraction and quantitative RT-PCR</w:t>
      </w:r>
      <w:r w:rsidRPr="00F23F62">
        <w:rPr>
          <w:rStyle w:val="Strong"/>
          <w:sz w:val="22"/>
          <w:szCs w:val="22"/>
        </w:rPr>
        <w:t xml:space="preserve">.  </w:t>
      </w:r>
      <w:r w:rsidRPr="00F23F62">
        <w:rPr>
          <w:sz w:val="22"/>
          <w:szCs w:val="22"/>
        </w:rPr>
        <w:t xml:space="preserve">Lungs from 4 litters (3 males/litter) of each strain were divided in half and homogenized for either RNA (right lung) or lipid analysis (left lung) at each gestational and postnatal time point.  The interval between all time points was 24 hours, except for E20.5 (just prior to birth) and P0 (just after birth) for the A/J strain, for which the perinatal interval was 3 to 6 hours.  RNA was isolated from whole right lung homogenates using an RNAeasy Protect mini kit (Qiagen, Valencia, CA).  Samples were pooled for each litter, and quantitative PCR using 53 Taqman probes (Applied BioSystems, Foster City, CA) was performed with the primer sets listed. </w:t>
      </w:r>
      <w:r w:rsidR="005E329B">
        <w:rPr>
          <w:sz w:val="22"/>
          <w:szCs w:val="22"/>
        </w:rPr>
        <w:t xml:space="preserve"> </w:t>
      </w:r>
      <w:r w:rsidR="00F23F62" w:rsidRPr="00C868DD">
        <w:rPr>
          <w:sz w:val="22"/>
          <w:szCs w:val="22"/>
        </w:rPr>
        <w:t xml:space="preserve">Probe and primer sets for </w:t>
      </w:r>
      <w:r w:rsidR="00F23F62" w:rsidRPr="00C868DD">
        <w:rPr>
          <w:i/>
          <w:sz w:val="22"/>
          <w:szCs w:val="22"/>
        </w:rPr>
        <w:t>18s</w:t>
      </w:r>
      <w:r w:rsidR="00F23F62" w:rsidRPr="00C868DD">
        <w:rPr>
          <w:sz w:val="22"/>
          <w:szCs w:val="22"/>
        </w:rPr>
        <w:t xml:space="preserve"> rRNA were used for normalization.  PCR reactions and relative quantification were performed using 25 ng of cDNA per reaction in a StepOnePlus Real-Time PCR system (Applied Biosystems).</w:t>
      </w:r>
    </w:p>
    <w:p w:rsidR="004E4558" w:rsidRPr="00F23F62" w:rsidRDefault="004E4558" w:rsidP="00F23F62">
      <w:pPr>
        <w:spacing w:line="276" w:lineRule="auto"/>
        <w:jc w:val="both"/>
        <w:rPr>
          <w:rFonts w:eastAsia="Times New Roman"/>
          <w:color w:val="000000"/>
          <w:sz w:val="22"/>
          <w:szCs w:val="22"/>
          <w:lang w:eastAsia="fr-FR"/>
        </w:rPr>
      </w:pPr>
      <w:r w:rsidRPr="00F23F62">
        <w:rPr>
          <w:rStyle w:val="Strong"/>
          <w:sz w:val="22"/>
          <w:szCs w:val="22"/>
        </w:rPr>
        <w:t xml:space="preserve">Lung RNA extraction, RT-PCR analysis. </w:t>
      </w:r>
      <w:r w:rsidR="005E329B">
        <w:rPr>
          <w:rStyle w:val="Strong"/>
          <w:sz w:val="22"/>
          <w:szCs w:val="22"/>
        </w:rPr>
        <w:t xml:space="preserve"> </w:t>
      </w:r>
      <w:r w:rsidRPr="00F23F62">
        <w:rPr>
          <w:sz w:val="22"/>
          <w:szCs w:val="22"/>
        </w:rPr>
        <w:t xml:space="preserve">Quantitative PCRs using Taqman probes were performed with the following primer sets specific for: </w:t>
      </w:r>
      <w:r w:rsidRPr="00F23F62">
        <w:rPr>
          <w:rFonts w:eastAsia="Times New Roman"/>
          <w:i/>
          <w:color w:val="000000"/>
          <w:sz w:val="22"/>
          <w:szCs w:val="22"/>
          <w:lang w:eastAsia="fr-FR"/>
        </w:rPr>
        <w:t xml:space="preserve">Abca3 </w:t>
      </w:r>
      <w:r w:rsidRPr="00F23F62">
        <w:rPr>
          <w:rFonts w:eastAsia="Times New Roman"/>
          <w:color w:val="000000"/>
          <w:sz w:val="22"/>
          <w:szCs w:val="22"/>
          <w:lang w:eastAsia="fr-FR"/>
        </w:rPr>
        <w:t xml:space="preserve">(Mm00550501_m1), </w:t>
      </w:r>
      <w:r w:rsidRPr="00F23F62">
        <w:rPr>
          <w:rFonts w:eastAsia="Times New Roman"/>
          <w:i/>
          <w:color w:val="000000"/>
          <w:sz w:val="22"/>
          <w:szCs w:val="22"/>
          <w:lang w:eastAsia="fr-FR"/>
        </w:rPr>
        <w:t xml:space="preserve">Lpl </w:t>
      </w:r>
      <w:r w:rsidRPr="00F23F62">
        <w:rPr>
          <w:rFonts w:eastAsia="Times New Roman"/>
          <w:color w:val="000000"/>
          <w:sz w:val="22"/>
          <w:szCs w:val="22"/>
          <w:lang w:eastAsia="fr-FR"/>
        </w:rPr>
        <w:t xml:space="preserve">(Mm00434770_m1), </w:t>
      </w:r>
      <w:r w:rsidRPr="00F23F62">
        <w:rPr>
          <w:rFonts w:eastAsia="Times New Roman"/>
          <w:i/>
          <w:color w:val="000000"/>
          <w:sz w:val="22"/>
          <w:szCs w:val="22"/>
          <w:lang w:eastAsia="fr-FR"/>
        </w:rPr>
        <w:t xml:space="preserve">Adfp </w:t>
      </w:r>
      <w:r w:rsidRPr="00F23F62">
        <w:rPr>
          <w:rFonts w:eastAsia="Times New Roman"/>
          <w:color w:val="000000"/>
          <w:sz w:val="22"/>
          <w:szCs w:val="22"/>
          <w:lang w:eastAsia="fr-FR"/>
        </w:rPr>
        <w:t xml:space="preserve">(Mm00475794_m1), </w:t>
      </w:r>
      <w:r w:rsidRPr="00F23F62">
        <w:rPr>
          <w:rFonts w:eastAsia="Times New Roman"/>
          <w:i/>
          <w:color w:val="000000"/>
          <w:sz w:val="22"/>
          <w:szCs w:val="22"/>
          <w:lang w:eastAsia="fr-FR"/>
        </w:rPr>
        <w:t xml:space="preserve">Lyz2 </w:t>
      </w:r>
      <w:r w:rsidRPr="00F23F62">
        <w:rPr>
          <w:rFonts w:eastAsia="Times New Roman"/>
          <w:color w:val="000000"/>
          <w:sz w:val="22"/>
          <w:szCs w:val="22"/>
          <w:lang w:eastAsia="fr-FR"/>
        </w:rPr>
        <w:t xml:space="preserve">(Mm01612741_m1), </w:t>
      </w:r>
      <w:r w:rsidRPr="00F23F62">
        <w:rPr>
          <w:rFonts w:eastAsia="Times New Roman"/>
          <w:i/>
          <w:color w:val="000000"/>
          <w:sz w:val="22"/>
          <w:szCs w:val="22"/>
          <w:lang w:eastAsia="fr-FR"/>
        </w:rPr>
        <w:t xml:space="preserve">Aqp5 </w:t>
      </w:r>
      <w:r w:rsidRPr="00F23F62">
        <w:rPr>
          <w:rFonts w:eastAsia="Times New Roman"/>
          <w:color w:val="000000"/>
          <w:sz w:val="22"/>
          <w:szCs w:val="22"/>
          <w:lang w:eastAsia="fr-FR"/>
        </w:rPr>
        <w:t xml:space="preserve">(Mm00437578_m1), </w:t>
      </w:r>
      <w:r w:rsidRPr="00F23F62">
        <w:rPr>
          <w:rFonts w:eastAsia="Times New Roman"/>
          <w:i/>
          <w:color w:val="000000"/>
          <w:sz w:val="22"/>
          <w:szCs w:val="22"/>
          <w:lang w:eastAsia="fr-FR"/>
        </w:rPr>
        <w:t xml:space="preserve">Mamdc2 </w:t>
      </w:r>
      <w:r w:rsidRPr="00F23F62">
        <w:rPr>
          <w:rFonts w:eastAsia="Times New Roman"/>
          <w:color w:val="000000"/>
          <w:sz w:val="22"/>
          <w:szCs w:val="22"/>
          <w:lang w:eastAsia="fr-FR"/>
        </w:rPr>
        <w:t xml:space="preserve">(Mm00805078_m1), </w:t>
      </w:r>
      <w:r w:rsidRPr="00F23F62">
        <w:rPr>
          <w:rFonts w:eastAsia="Times New Roman"/>
          <w:i/>
          <w:color w:val="000000"/>
          <w:sz w:val="22"/>
          <w:szCs w:val="22"/>
          <w:lang w:eastAsia="fr-FR"/>
        </w:rPr>
        <w:t xml:space="preserve">Atp1a2 </w:t>
      </w:r>
      <w:r w:rsidRPr="00F23F62">
        <w:rPr>
          <w:rFonts w:eastAsia="Times New Roman"/>
          <w:color w:val="000000"/>
          <w:sz w:val="22"/>
          <w:szCs w:val="22"/>
          <w:lang w:eastAsia="fr-FR"/>
        </w:rPr>
        <w:t xml:space="preserve">(Mm00617899_m1), </w:t>
      </w:r>
      <w:r w:rsidRPr="00F23F62">
        <w:rPr>
          <w:rFonts w:eastAsia="Times New Roman"/>
          <w:i/>
          <w:color w:val="000000"/>
          <w:sz w:val="22"/>
          <w:szCs w:val="22"/>
          <w:lang w:eastAsia="fr-FR"/>
        </w:rPr>
        <w:t xml:space="preserve">Napsa </w:t>
      </w:r>
      <w:r w:rsidRPr="00F23F62">
        <w:rPr>
          <w:rFonts w:eastAsia="Times New Roman"/>
          <w:color w:val="000000"/>
          <w:sz w:val="22"/>
          <w:szCs w:val="22"/>
          <w:lang w:eastAsia="fr-FR"/>
        </w:rPr>
        <w:t xml:space="preserve">(Mm00492829_m1), </w:t>
      </w:r>
      <w:r w:rsidRPr="00F23F62">
        <w:rPr>
          <w:rFonts w:eastAsia="Times New Roman"/>
          <w:i/>
          <w:color w:val="000000"/>
          <w:sz w:val="22"/>
          <w:szCs w:val="22"/>
          <w:lang w:eastAsia="fr-FR"/>
        </w:rPr>
        <w:t xml:space="preserve">Calca </w:t>
      </w:r>
      <w:r w:rsidRPr="00F23F62">
        <w:rPr>
          <w:rFonts w:eastAsia="Times New Roman"/>
          <w:color w:val="000000"/>
          <w:sz w:val="22"/>
          <w:szCs w:val="22"/>
          <w:lang w:eastAsia="fr-FR"/>
        </w:rPr>
        <w:t xml:space="preserve">(Mm00801463_g1), </w:t>
      </w:r>
      <w:r w:rsidRPr="00F23F62">
        <w:rPr>
          <w:rFonts w:eastAsia="Times New Roman"/>
          <w:i/>
          <w:color w:val="000000"/>
          <w:sz w:val="22"/>
          <w:szCs w:val="22"/>
          <w:lang w:eastAsia="fr-FR"/>
        </w:rPr>
        <w:t xml:space="preserve">Nfatc3 </w:t>
      </w:r>
      <w:r w:rsidRPr="00F23F62">
        <w:rPr>
          <w:rFonts w:eastAsia="Times New Roman"/>
          <w:color w:val="000000"/>
          <w:sz w:val="22"/>
          <w:szCs w:val="22"/>
          <w:lang w:eastAsia="fr-FR"/>
        </w:rPr>
        <w:t xml:space="preserve">(Mm01249200_m1), </w:t>
      </w:r>
      <w:r w:rsidRPr="00F23F62">
        <w:rPr>
          <w:rFonts w:eastAsia="Times New Roman"/>
          <w:i/>
          <w:color w:val="000000"/>
          <w:sz w:val="22"/>
          <w:szCs w:val="22"/>
          <w:lang w:eastAsia="fr-FR"/>
        </w:rPr>
        <w:t xml:space="preserve">Car3 </w:t>
      </w:r>
      <w:r w:rsidRPr="00F23F62">
        <w:rPr>
          <w:rFonts w:eastAsia="Times New Roman"/>
          <w:color w:val="000000"/>
          <w:sz w:val="22"/>
          <w:szCs w:val="22"/>
          <w:lang w:eastAsia="fr-FR"/>
        </w:rPr>
        <w:t xml:space="preserve">(Mm00483016_m1), </w:t>
      </w:r>
      <w:r w:rsidRPr="00F23F62">
        <w:rPr>
          <w:rFonts w:eastAsia="Times New Roman"/>
          <w:i/>
          <w:color w:val="000000"/>
          <w:sz w:val="22"/>
          <w:szCs w:val="22"/>
          <w:lang w:eastAsia="fr-FR"/>
        </w:rPr>
        <w:t xml:space="preserve">Nkx2.1 </w:t>
      </w:r>
      <w:r w:rsidRPr="00F23F62">
        <w:rPr>
          <w:rFonts w:eastAsia="Times New Roman"/>
          <w:color w:val="000000"/>
          <w:sz w:val="22"/>
          <w:szCs w:val="22"/>
          <w:lang w:eastAsia="fr-FR"/>
        </w:rPr>
        <w:t xml:space="preserve">(Mm00447558_m1), </w:t>
      </w:r>
      <w:r w:rsidRPr="00F23F62">
        <w:rPr>
          <w:rFonts w:eastAsia="Times New Roman"/>
          <w:i/>
          <w:color w:val="000000"/>
          <w:sz w:val="22"/>
          <w:szCs w:val="22"/>
          <w:lang w:eastAsia="fr-FR"/>
        </w:rPr>
        <w:t xml:space="preserve">Cav2 </w:t>
      </w:r>
      <w:r w:rsidRPr="00F23F62">
        <w:rPr>
          <w:rFonts w:eastAsia="Times New Roman"/>
          <w:color w:val="000000"/>
          <w:sz w:val="22"/>
          <w:szCs w:val="22"/>
          <w:lang w:eastAsia="fr-FR"/>
        </w:rPr>
        <w:t xml:space="preserve">(Mm00516827_m1), </w:t>
      </w:r>
      <w:r w:rsidRPr="00F23F62">
        <w:rPr>
          <w:rFonts w:eastAsia="Times New Roman"/>
          <w:i/>
          <w:color w:val="000000"/>
          <w:sz w:val="22"/>
          <w:szCs w:val="22"/>
          <w:lang w:eastAsia="fr-FR"/>
        </w:rPr>
        <w:t xml:space="preserve">Nr3c1 </w:t>
      </w:r>
      <w:r w:rsidRPr="00F23F62">
        <w:rPr>
          <w:rFonts w:eastAsia="Times New Roman"/>
          <w:color w:val="000000"/>
          <w:sz w:val="22"/>
          <w:szCs w:val="22"/>
          <w:lang w:eastAsia="fr-FR"/>
        </w:rPr>
        <w:t xml:space="preserve">(Mm00433832_m1), </w:t>
      </w:r>
      <w:r w:rsidRPr="00F23F62">
        <w:rPr>
          <w:rFonts w:eastAsia="Times New Roman"/>
          <w:i/>
          <w:color w:val="000000"/>
          <w:sz w:val="22"/>
          <w:szCs w:val="22"/>
          <w:lang w:eastAsia="fr-FR"/>
        </w:rPr>
        <w:t xml:space="preserve">Cd47 </w:t>
      </w:r>
      <w:r w:rsidRPr="00F23F62">
        <w:rPr>
          <w:rFonts w:eastAsia="Times New Roman"/>
          <w:color w:val="000000"/>
          <w:sz w:val="22"/>
          <w:szCs w:val="22"/>
          <w:lang w:eastAsia="fr-FR"/>
        </w:rPr>
        <w:t xml:space="preserve">(Mm00495005_m1), </w:t>
      </w:r>
      <w:r w:rsidRPr="00F23F62">
        <w:rPr>
          <w:rFonts w:eastAsia="Times New Roman"/>
          <w:i/>
          <w:color w:val="000000"/>
          <w:sz w:val="22"/>
          <w:szCs w:val="22"/>
          <w:lang w:eastAsia="fr-FR"/>
        </w:rPr>
        <w:t xml:space="preserve">Nrp1 </w:t>
      </w:r>
      <w:r w:rsidRPr="00F23F62">
        <w:rPr>
          <w:rFonts w:eastAsia="Times New Roman"/>
          <w:color w:val="000000"/>
          <w:sz w:val="22"/>
          <w:szCs w:val="22"/>
          <w:lang w:eastAsia="fr-FR"/>
        </w:rPr>
        <w:t xml:space="preserve">(Mm00435372_m1), </w:t>
      </w:r>
      <w:r w:rsidRPr="00F23F62">
        <w:rPr>
          <w:rFonts w:eastAsia="Times New Roman"/>
          <w:i/>
          <w:color w:val="000000"/>
          <w:sz w:val="22"/>
          <w:szCs w:val="22"/>
          <w:lang w:eastAsia="fr-FR"/>
        </w:rPr>
        <w:t xml:space="preserve">Cdipt </w:t>
      </w:r>
      <w:r w:rsidRPr="00F23F62">
        <w:rPr>
          <w:rFonts w:eastAsia="Times New Roman"/>
          <w:color w:val="000000"/>
          <w:sz w:val="22"/>
          <w:szCs w:val="22"/>
          <w:lang w:eastAsia="fr-FR"/>
        </w:rPr>
        <w:t xml:space="preserve">(Mm00513684_m1), </w:t>
      </w:r>
      <w:r w:rsidRPr="00F23F62">
        <w:rPr>
          <w:rFonts w:eastAsia="Times New Roman"/>
          <w:i/>
          <w:color w:val="000000"/>
          <w:sz w:val="22"/>
          <w:szCs w:val="22"/>
          <w:lang w:eastAsia="fr-FR"/>
        </w:rPr>
        <w:t xml:space="preserve">Pcyt1a </w:t>
      </w:r>
      <w:r w:rsidRPr="00F23F62">
        <w:rPr>
          <w:rFonts w:eastAsia="Times New Roman"/>
          <w:color w:val="000000"/>
          <w:sz w:val="22"/>
          <w:szCs w:val="22"/>
          <w:lang w:eastAsia="fr-FR"/>
        </w:rPr>
        <w:t xml:space="preserve">(Mm00447774_m1), </w:t>
      </w:r>
      <w:r w:rsidRPr="00F23F62">
        <w:rPr>
          <w:rFonts w:eastAsia="Times New Roman"/>
          <w:i/>
          <w:color w:val="000000"/>
          <w:sz w:val="22"/>
          <w:szCs w:val="22"/>
          <w:lang w:eastAsia="fr-FR"/>
        </w:rPr>
        <w:t xml:space="preserve">Cebpa </w:t>
      </w:r>
      <w:r w:rsidRPr="00F23F62">
        <w:rPr>
          <w:rFonts w:eastAsia="Times New Roman"/>
          <w:color w:val="000000"/>
          <w:sz w:val="22"/>
          <w:szCs w:val="22"/>
          <w:lang w:eastAsia="fr-FR"/>
        </w:rPr>
        <w:t xml:space="preserve">(Mm01265914_s1), </w:t>
      </w:r>
      <w:r w:rsidRPr="00F23F62">
        <w:rPr>
          <w:rFonts w:eastAsia="Times New Roman"/>
          <w:i/>
          <w:color w:val="000000"/>
          <w:sz w:val="22"/>
          <w:szCs w:val="22"/>
          <w:lang w:eastAsia="fr-FR"/>
        </w:rPr>
        <w:t xml:space="preserve">Pdgfa </w:t>
      </w:r>
      <w:r w:rsidRPr="00F23F62">
        <w:rPr>
          <w:rFonts w:eastAsia="Times New Roman"/>
          <w:color w:val="000000"/>
          <w:sz w:val="22"/>
          <w:szCs w:val="22"/>
          <w:lang w:eastAsia="fr-FR"/>
        </w:rPr>
        <w:t xml:space="preserve">(Mm00435540_m1), </w:t>
      </w:r>
      <w:r w:rsidRPr="00F23F62">
        <w:rPr>
          <w:rFonts w:eastAsia="Times New Roman"/>
          <w:i/>
          <w:color w:val="000000"/>
          <w:sz w:val="22"/>
          <w:szCs w:val="22"/>
          <w:lang w:eastAsia="fr-FR"/>
        </w:rPr>
        <w:t xml:space="preserve">Cftr </w:t>
      </w:r>
      <w:r w:rsidRPr="00F23F62">
        <w:rPr>
          <w:rFonts w:eastAsia="Times New Roman"/>
          <w:color w:val="000000"/>
          <w:sz w:val="22"/>
          <w:szCs w:val="22"/>
          <w:lang w:eastAsia="fr-FR"/>
        </w:rPr>
        <w:t xml:space="preserve">(Mm00445197_m1), </w:t>
      </w:r>
      <w:r w:rsidRPr="00F23F62">
        <w:rPr>
          <w:rFonts w:eastAsia="Times New Roman"/>
          <w:i/>
          <w:color w:val="000000"/>
          <w:sz w:val="22"/>
          <w:szCs w:val="22"/>
          <w:lang w:eastAsia="fr-FR"/>
        </w:rPr>
        <w:t xml:space="preserve">Pdpn1 </w:t>
      </w:r>
      <w:r w:rsidRPr="00F23F62">
        <w:rPr>
          <w:rFonts w:eastAsia="Times New Roman"/>
          <w:color w:val="000000"/>
          <w:sz w:val="22"/>
          <w:szCs w:val="22"/>
          <w:lang w:eastAsia="fr-FR"/>
        </w:rPr>
        <w:t xml:space="preserve">(Mm00494716_m1), </w:t>
      </w:r>
      <w:r w:rsidRPr="00F23F62">
        <w:rPr>
          <w:rFonts w:eastAsia="Times New Roman"/>
          <w:i/>
          <w:color w:val="000000"/>
          <w:sz w:val="22"/>
          <w:szCs w:val="22"/>
          <w:lang w:eastAsia="fr-FR"/>
        </w:rPr>
        <w:t xml:space="preserve">Cnga2 </w:t>
      </w:r>
      <w:r w:rsidRPr="00F23F62">
        <w:rPr>
          <w:rFonts w:eastAsia="Times New Roman"/>
          <w:color w:val="000000"/>
          <w:sz w:val="22"/>
          <w:szCs w:val="22"/>
          <w:lang w:eastAsia="fr-FR"/>
        </w:rPr>
        <w:t xml:space="preserve">(Mm00432614_m1), </w:t>
      </w:r>
      <w:r w:rsidRPr="00F23F62">
        <w:rPr>
          <w:rFonts w:eastAsia="Times New Roman"/>
          <w:i/>
          <w:color w:val="000000"/>
          <w:sz w:val="22"/>
          <w:szCs w:val="22"/>
          <w:lang w:eastAsia="fr-FR"/>
        </w:rPr>
        <w:t xml:space="preserve">Pon1 </w:t>
      </w:r>
      <w:r w:rsidRPr="00F23F62">
        <w:rPr>
          <w:rFonts w:eastAsia="Times New Roman"/>
          <w:color w:val="000000"/>
          <w:sz w:val="22"/>
          <w:szCs w:val="22"/>
          <w:lang w:eastAsia="fr-FR"/>
        </w:rPr>
        <w:t xml:space="preserve">(Mm00599936_m1), </w:t>
      </w:r>
      <w:r w:rsidRPr="00F23F62">
        <w:rPr>
          <w:rFonts w:eastAsia="Times New Roman"/>
          <w:i/>
          <w:color w:val="000000"/>
          <w:sz w:val="22"/>
          <w:szCs w:val="22"/>
          <w:lang w:eastAsia="fr-FR"/>
        </w:rPr>
        <w:t xml:space="preserve">Cyp2f2 </w:t>
      </w:r>
      <w:r w:rsidRPr="00F23F62">
        <w:rPr>
          <w:rFonts w:eastAsia="Times New Roman"/>
          <w:color w:val="000000"/>
          <w:sz w:val="22"/>
          <w:szCs w:val="22"/>
          <w:lang w:eastAsia="fr-FR"/>
        </w:rPr>
        <w:t xml:space="preserve">(Mm00484087_m1), </w:t>
      </w:r>
      <w:r w:rsidRPr="00F23F62">
        <w:rPr>
          <w:rFonts w:eastAsia="Times New Roman"/>
          <w:i/>
          <w:color w:val="000000"/>
          <w:sz w:val="22"/>
          <w:szCs w:val="22"/>
          <w:lang w:eastAsia="fr-FR"/>
        </w:rPr>
        <w:t xml:space="preserve">Pr2x4 </w:t>
      </w:r>
      <w:r w:rsidRPr="00F23F62">
        <w:rPr>
          <w:rFonts w:eastAsia="Times New Roman"/>
          <w:color w:val="000000"/>
          <w:sz w:val="22"/>
          <w:szCs w:val="22"/>
          <w:lang w:eastAsia="fr-FR"/>
        </w:rPr>
        <w:t xml:space="preserve">(Mm00501787_m1), </w:t>
      </w:r>
      <w:r w:rsidRPr="00F23F62">
        <w:rPr>
          <w:rFonts w:eastAsia="Times New Roman"/>
          <w:i/>
          <w:color w:val="000000"/>
          <w:sz w:val="22"/>
          <w:szCs w:val="22"/>
          <w:lang w:eastAsia="fr-FR"/>
        </w:rPr>
        <w:t xml:space="preserve">Eln </w:t>
      </w:r>
      <w:r w:rsidRPr="00F23F62">
        <w:rPr>
          <w:rFonts w:eastAsia="Times New Roman"/>
          <w:color w:val="000000"/>
          <w:sz w:val="22"/>
          <w:szCs w:val="22"/>
          <w:lang w:eastAsia="fr-FR"/>
        </w:rPr>
        <w:t xml:space="preserve">(Mm00514670_m1), </w:t>
      </w:r>
      <w:r w:rsidRPr="00F23F62">
        <w:rPr>
          <w:rFonts w:eastAsia="Times New Roman"/>
          <w:i/>
          <w:color w:val="000000"/>
          <w:sz w:val="22"/>
          <w:szCs w:val="22"/>
          <w:lang w:eastAsia="fr-FR"/>
        </w:rPr>
        <w:t xml:space="preserve">Prox1 </w:t>
      </w:r>
      <w:r w:rsidRPr="00F23F62">
        <w:rPr>
          <w:rFonts w:eastAsia="Times New Roman"/>
          <w:color w:val="000000"/>
          <w:sz w:val="22"/>
          <w:szCs w:val="22"/>
          <w:lang w:eastAsia="fr-FR"/>
        </w:rPr>
        <w:t xml:space="preserve">(Mm00435969_m1), </w:t>
      </w:r>
      <w:r w:rsidRPr="00F23F62">
        <w:rPr>
          <w:rFonts w:eastAsia="Times New Roman"/>
          <w:i/>
          <w:color w:val="000000"/>
          <w:sz w:val="22"/>
          <w:szCs w:val="22"/>
          <w:lang w:eastAsia="fr-FR"/>
        </w:rPr>
        <w:t xml:space="preserve">Etv5 </w:t>
      </w:r>
      <w:r w:rsidRPr="00F23F62">
        <w:rPr>
          <w:rFonts w:eastAsia="Times New Roman"/>
          <w:color w:val="000000"/>
          <w:sz w:val="22"/>
          <w:szCs w:val="22"/>
          <w:lang w:eastAsia="fr-FR"/>
        </w:rPr>
        <w:t xml:space="preserve">(Mm00465816_m1), </w:t>
      </w:r>
      <w:r w:rsidRPr="00F23F62">
        <w:rPr>
          <w:rFonts w:eastAsia="Times New Roman"/>
          <w:i/>
          <w:color w:val="000000"/>
          <w:sz w:val="22"/>
          <w:szCs w:val="22"/>
          <w:lang w:eastAsia="fr-FR"/>
        </w:rPr>
        <w:t xml:space="preserve">Pygb </w:t>
      </w:r>
      <w:r w:rsidRPr="00F23F62">
        <w:rPr>
          <w:rFonts w:eastAsia="Times New Roman"/>
          <w:color w:val="000000"/>
          <w:sz w:val="22"/>
          <w:szCs w:val="22"/>
          <w:lang w:eastAsia="fr-FR"/>
        </w:rPr>
        <w:t xml:space="preserve">(Mm00464080_m1), </w:t>
      </w:r>
      <w:r w:rsidRPr="00F23F62">
        <w:rPr>
          <w:rFonts w:eastAsia="Times New Roman"/>
          <w:i/>
          <w:color w:val="000000"/>
          <w:sz w:val="22"/>
          <w:szCs w:val="22"/>
          <w:lang w:eastAsia="fr-FR"/>
        </w:rPr>
        <w:t xml:space="preserve">Fabp4 </w:t>
      </w:r>
      <w:r w:rsidRPr="00F23F62">
        <w:rPr>
          <w:rFonts w:eastAsia="Times New Roman"/>
          <w:color w:val="000000"/>
          <w:sz w:val="22"/>
          <w:szCs w:val="22"/>
          <w:lang w:eastAsia="fr-FR"/>
        </w:rPr>
        <w:t xml:space="preserve">(Mm00445880_m1), </w:t>
      </w:r>
      <w:r w:rsidRPr="00F23F62">
        <w:rPr>
          <w:rFonts w:eastAsia="Times New Roman"/>
          <w:i/>
          <w:color w:val="000000"/>
          <w:sz w:val="22"/>
          <w:szCs w:val="22"/>
          <w:lang w:eastAsia="fr-FR"/>
        </w:rPr>
        <w:t xml:space="preserve">Pygl </w:t>
      </w:r>
      <w:r w:rsidRPr="00F23F62">
        <w:rPr>
          <w:rFonts w:eastAsia="Times New Roman"/>
          <w:color w:val="000000"/>
          <w:sz w:val="22"/>
          <w:szCs w:val="22"/>
          <w:lang w:eastAsia="fr-FR"/>
        </w:rPr>
        <w:t xml:space="preserve">(Mm00500078_m1), </w:t>
      </w:r>
      <w:r w:rsidRPr="00F23F62">
        <w:rPr>
          <w:rFonts w:eastAsia="Times New Roman"/>
          <w:i/>
          <w:color w:val="000000"/>
          <w:sz w:val="22"/>
          <w:szCs w:val="22"/>
          <w:lang w:eastAsia="fr-FR"/>
        </w:rPr>
        <w:t xml:space="preserve">Fabp5 </w:t>
      </w:r>
      <w:r w:rsidRPr="00F23F62">
        <w:rPr>
          <w:rFonts w:eastAsia="Times New Roman"/>
          <w:color w:val="000000"/>
          <w:sz w:val="22"/>
          <w:szCs w:val="22"/>
          <w:lang w:eastAsia="fr-FR"/>
        </w:rPr>
        <w:t xml:space="preserve">(Mm00783731_s1), </w:t>
      </w:r>
      <w:r w:rsidRPr="00F23F62">
        <w:rPr>
          <w:rFonts w:eastAsia="Times New Roman"/>
          <w:i/>
          <w:color w:val="000000"/>
          <w:sz w:val="22"/>
          <w:szCs w:val="22"/>
          <w:lang w:eastAsia="fr-FR"/>
        </w:rPr>
        <w:t xml:space="preserve">Scd1 </w:t>
      </w:r>
      <w:r w:rsidRPr="00F23F62">
        <w:rPr>
          <w:rFonts w:eastAsia="Times New Roman"/>
          <w:color w:val="000000"/>
          <w:sz w:val="22"/>
          <w:szCs w:val="22"/>
          <w:lang w:eastAsia="fr-FR"/>
        </w:rPr>
        <w:t xml:space="preserve">(Mm01197142_m1), </w:t>
      </w:r>
      <w:r w:rsidRPr="00F23F62">
        <w:rPr>
          <w:rFonts w:eastAsia="Times New Roman"/>
          <w:i/>
          <w:color w:val="000000"/>
          <w:sz w:val="22"/>
          <w:szCs w:val="22"/>
          <w:lang w:eastAsia="fr-FR"/>
        </w:rPr>
        <w:t xml:space="preserve">Fasn </w:t>
      </w:r>
      <w:r w:rsidRPr="00F23F62">
        <w:rPr>
          <w:rFonts w:eastAsia="Times New Roman"/>
          <w:color w:val="000000"/>
          <w:sz w:val="22"/>
          <w:szCs w:val="22"/>
          <w:lang w:eastAsia="fr-FR"/>
        </w:rPr>
        <w:t xml:space="preserve">(Mm01253292_m1), </w:t>
      </w:r>
      <w:r w:rsidRPr="00F23F62">
        <w:rPr>
          <w:rFonts w:eastAsia="Times New Roman"/>
          <w:i/>
          <w:color w:val="000000"/>
          <w:sz w:val="22"/>
          <w:szCs w:val="22"/>
          <w:lang w:eastAsia="fr-FR"/>
        </w:rPr>
        <w:t xml:space="preserve">Scgb1A1 </w:t>
      </w:r>
      <w:r w:rsidRPr="00F23F62">
        <w:rPr>
          <w:rFonts w:eastAsia="Times New Roman"/>
          <w:color w:val="000000"/>
          <w:sz w:val="22"/>
          <w:szCs w:val="22"/>
          <w:lang w:eastAsia="fr-FR"/>
        </w:rPr>
        <w:t xml:space="preserve">(Mm00442046_m1), </w:t>
      </w:r>
      <w:r w:rsidRPr="00F23F62">
        <w:rPr>
          <w:rFonts w:eastAsia="Times New Roman"/>
          <w:i/>
          <w:color w:val="000000"/>
          <w:sz w:val="22"/>
          <w:szCs w:val="22"/>
          <w:lang w:eastAsia="fr-FR"/>
        </w:rPr>
        <w:t xml:space="preserve">Fgfr3 </w:t>
      </w:r>
      <w:r w:rsidRPr="00F23F62">
        <w:rPr>
          <w:rFonts w:eastAsia="Times New Roman"/>
          <w:color w:val="000000"/>
          <w:sz w:val="22"/>
          <w:szCs w:val="22"/>
          <w:lang w:eastAsia="fr-FR"/>
        </w:rPr>
        <w:t xml:space="preserve">(Mm00433294_m1), </w:t>
      </w:r>
      <w:r w:rsidRPr="00F23F62">
        <w:rPr>
          <w:rFonts w:eastAsia="Times New Roman"/>
          <w:i/>
          <w:color w:val="000000"/>
          <w:sz w:val="22"/>
          <w:szCs w:val="22"/>
          <w:lang w:eastAsia="fr-FR"/>
        </w:rPr>
        <w:t xml:space="preserve">Scnn1g </w:t>
      </w:r>
      <w:r w:rsidRPr="00F23F62">
        <w:rPr>
          <w:rFonts w:eastAsia="Times New Roman"/>
          <w:color w:val="000000"/>
          <w:sz w:val="22"/>
          <w:szCs w:val="22"/>
          <w:lang w:eastAsia="fr-FR"/>
        </w:rPr>
        <w:t xml:space="preserve">(Mm00441228_m1), </w:t>
      </w:r>
      <w:r w:rsidRPr="00F23F62">
        <w:rPr>
          <w:rFonts w:eastAsia="Times New Roman"/>
          <w:i/>
          <w:color w:val="000000"/>
          <w:sz w:val="22"/>
          <w:szCs w:val="22"/>
          <w:lang w:eastAsia="fr-FR"/>
        </w:rPr>
        <w:t xml:space="preserve">Fgfr4 </w:t>
      </w:r>
      <w:r w:rsidRPr="00F23F62">
        <w:rPr>
          <w:rFonts w:eastAsia="Times New Roman"/>
          <w:color w:val="000000"/>
          <w:sz w:val="22"/>
          <w:szCs w:val="22"/>
          <w:lang w:eastAsia="fr-FR"/>
        </w:rPr>
        <w:t xml:space="preserve">(Mm00433314_m1), </w:t>
      </w:r>
      <w:r w:rsidRPr="00F23F62">
        <w:rPr>
          <w:rFonts w:eastAsia="Times New Roman"/>
          <w:i/>
          <w:color w:val="000000"/>
          <w:sz w:val="22"/>
          <w:szCs w:val="22"/>
          <w:lang w:eastAsia="fr-FR"/>
        </w:rPr>
        <w:t xml:space="preserve">Sftpa1 </w:t>
      </w:r>
      <w:r w:rsidRPr="00F23F62">
        <w:rPr>
          <w:rFonts w:eastAsia="Times New Roman"/>
          <w:color w:val="000000"/>
          <w:sz w:val="22"/>
          <w:szCs w:val="22"/>
          <w:lang w:eastAsia="fr-FR"/>
        </w:rPr>
        <w:t xml:space="preserve">(Mm00499170_m1), </w:t>
      </w:r>
      <w:r w:rsidRPr="00F23F62">
        <w:rPr>
          <w:rFonts w:eastAsia="Times New Roman"/>
          <w:i/>
          <w:color w:val="000000"/>
          <w:sz w:val="22"/>
          <w:szCs w:val="22"/>
          <w:lang w:eastAsia="fr-FR"/>
        </w:rPr>
        <w:t xml:space="preserve">Flt4 </w:t>
      </w:r>
      <w:r w:rsidRPr="00F23F62">
        <w:rPr>
          <w:rFonts w:eastAsia="Times New Roman"/>
          <w:color w:val="000000"/>
          <w:sz w:val="22"/>
          <w:szCs w:val="22"/>
          <w:lang w:eastAsia="fr-FR"/>
        </w:rPr>
        <w:t xml:space="preserve">(Mm00433337_m1), </w:t>
      </w:r>
      <w:r w:rsidRPr="00F23F62">
        <w:rPr>
          <w:rFonts w:eastAsia="Times New Roman"/>
          <w:i/>
          <w:color w:val="000000"/>
          <w:sz w:val="22"/>
          <w:szCs w:val="22"/>
          <w:lang w:eastAsia="fr-FR"/>
        </w:rPr>
        <w:t xml:space="preserve">Sftpb </w:t>
      </w:r>
      <w:r w:rsidRPr="00F23F62">
        <w:rPr>
          <w:rFonts w:eastAsia="Times New Roman"/>
          <w:color w:val="000000"/>
          <w:sz w:val="22"/>
          <w:szCs w:val="22"/>
          <w:lang w:eastAsia="fr-FR"/>
        </w:rPr>
        <w:t xml:space="preserve">(Mm00455681_m1), </w:t>
      </w:r>
      <w:r w:rsidRPr="00F23F62">
        <w:rPr>
          <w:rFonts w:eastAsia="Times New Roman"/>
          <w:i/>
          <w:color w:val="000000"/>
          <w:sz w:val="22"/>
          <w:szCs w:val="22"/>
          <w:lang w:eastAsia="fr-FR"/>
        </w:rPr>
        <w:t xml:space="preserve">Foxa2 </w:t>
      </w:r>
      <w:r w:rsidRPr="00F23F62">
        <w:rPr>
          <w:rFonts w:eastAsia="Times New Roman"/>
          <w:color w:val="000000"/>
          <w:sz w:val="22"/>
          <w:szCs w:val="22"/>
          <w:lang w:eastAsia="fr-FR"/>
        </w:rPr>
        <w:t xml:space="preserve">(Mm01976556_s1), </w:t>
      </w:r>
      <w:r w:rsidRPr="00F23F62">
        <w:rPr>
          <w:rFonts w:eastAsia="Times New Roman"/>
          <w:i/>
          <w:color w:val="000000"/>
          <w:sz w:val="22"/>
          <w:szCs w:val="22"/>
          <w:lang w:eastAsia="fr-FR"/>
        </w:rPr>
        <w:t xml:space="preserve">Sftpc </w:t>
      </w:r>
      <w:r w:rsidRPr="00F23F62">
        <w:rPr>
          <w:rFonts w:eastAsia="Times New Roman"/>
          <w:color w:val="000000"/>
          <w:sz w:val="22"/>
          <w:szCs w:val="22"/>
          <w:lang w:eastAsia="fr-FR"/>
        </w:rPr>
        <w:t xml:space="preserve">(Mm00488144_m1), </w:t>
      </w:r>
      <w:r w:rsidRPr="00F23F62">
        <w:rPr>
          <w:rFonts w:eastAsia="Times New Roman"/>
          <w:i/>
          <w:color w:val="000000"/>
          <w:sz w:val="22"/>
          <w:szCs w:val="22"/>
          <w:lang w:eastAsia="fr-FR"/>
        </w:rPr>
        <w:t xml:space="preserve">Foxj1 </w:t>
      </w:r>
      <w:r w:rsidRPr="00F23F62">
        <w:rPr>
          <w:rFonts w:eastAsia="Times New Roman"/>
          <w:color w:val="000000"/>
          <w:sz w:val="22"/>
          <w:szCs w:val="22"/>
          <w:lang w:eastAsia="fr-FR"/>
        </w:rPr>
        <w:t xml:space="preserve">(Mm00807215_m1), </w:t>
      </w:r>
      <w:r w:rsidRPr="00F23F62">
        <w:rPr>
          <w:rFonts w:eastAsia="Times New Roman"/>
          <w:i/>
          <w:color w:val="000000"/>
          <w:sz w:val="22"/>
          <w:szCs w:val="22"/>
          <w:lang w:eastAsia="fr-FR"/>
        </w:rPr>
        <w:t xml:space="preserve">Sftpd </w:t>
      </w:r>
      <w:r w:rsidRPr="00F23F62">
        <w:rPr>
          <w:rFonts w:eastAsia="Times New Roman"/>
          <w:color w:val="000000"/>
          <w:sz w:val="22"/>
          <w:szCs w:val="22"/>
          <w:lang w:eastAsia="fr-FR"/>
        </w:rPr>
        <w:t xml:space="preserve">(Mm00486060_m1), </w:t>
      </w:r>
      <w:r w:rsidRPr="00F23F62">
        <w:rPr>
          <w:rFonts w:eastAsia="Times New Roman"/>
          <w:i/>
          <w:color w:val="000000"/>
          <w:sz w:val="22"/>
          <w:szCs w:val="22"/>
          <w:lang w:eastAsia="fr-FR"/>
        </w:rPr>
        <w:t xml:space="preserve">Gaa </w:t>
      </w:r>
      <w:r w:rsidRPr="00F23F62">
        <w:rPr>
          <w:rFonts w:eastAsia="Times New Roman"/>
          <w:color w:val="000000"/>
          <w:sz w:val="22"/>
          <w:szCs w:val="22"/>
          <w:lang w:eastAsia="fr-FR"/>
        </w:rPr>
        <w:t xml:space="preserve">(Mm00484581_m1), </w:t>
      </w:r>
      <w:r w:rsidRPr="00F23F62">
        <w:rPr>
          <w:rFonts w:eastAsia="Times New Roman"/>
          <w:i/>
          <w:color w:val="000000"/>
          <w:sz w:val="22"/>
          <w:szCs w:val="22"/>
          <w:lang w:eastAsia="fr-FR"/>
        </w:rPr>
        <w:t xml:space="preserve">Slc34a2 </w:t>
      </w:r>
      <w:r w:rsidRPr="00F23F62">
        <w:rPr>
          <w:rFonts w:eastAsia="Times New Roman"/>
          <w:color w:val="000000"/>
          <w:sz w:val="22"/>
          <w:szCs w:val="22"/>
          <w:lang w:eastAsia="fr-FR"/>
        </w:rPr>
        <w:t xml:space="preserve">(Mm01215846_m1), </w:t>
      </w:r>
      <w:r w:rsidRPr="00F23F62">
        <w:rPr>
          <w:rFonts w:eastAsia="Times New Roman"/>
          <w:i/>
          <w:color w:val="000000"/>
          <w:sz w:val="22"/>
          <w:szCs w:val="22"/>
          <w:lang w:eastAsia="fr-FR"/>
        </w:rPr>
        <w:t xml:space="preserve">Itga8 </w:t>
      </w:r>
      <w:r w:rsidRPr="00F23F62">
        <w:rPr>
          <w:rFonts w:eastAsia="Times New Roman"/>
          <w:color w:val="000000"/>
          <w:sz w:val="22"/>
          <w:szCs w:val="22"/>
          <w:lang w:eastAsia="fr-FR"/>
        </w:rPr>
        <w:t xml:space="preserve">(Mm01324958_m1), </w:t>
      </w:r>
      <w:r w:rsidRPr="00F23F62">
        <w:rPr>
          <w:rFonts w:eastAsia="Times New Roman"/>
          <w:i/>
          <w:color w:val="000000"/>
          <w:sz w:val="22"/>
          <w:szCs w:val="22"/>
          <w:lang w:eastAsia="fr-FR"/>
        </w:rPr>
        <w:t xml:space="preserve">Tek </w:t>
      </w:r>
      <w:r w:rsidRPr="00F23F62">
        <w:rPr>
          <w:rFonts w:eastAsia="Times New Roman"/>
          <w:color w:val="000000"/>
          <w:sz w:val="22"/>
          <w:szCs w:val="22"/>
          <w:lang w:eastAsia="fr-FR"/>
        </w:rPr>
        <w:t xml:space="preserve">(Mm00443254_m1), </w:t>
      </w:r>
      <w:r w:rsidRPr="00F23F62">
        <w:rPr>
          <w:rFonts w:eastAsia="Times New Roman"/>
          <w:i/>
          <w:color w:val="000000"/>
          <w:sz w:val="22"/>
          <w:szCs w:val="22"/>
          <w:lang w:eastAsia="fr-FR"/>
        </w:rPr>
        <w:t xml:space="preserve">Lpcat1 </w:t>
      </w:r>
      <w:r w:rsidRPr="00F23F62">
        <w:rPr>
          <w:rFonts w:eastAsia="Times New Roman"/>
          <w:color w:val="000000"/>
          <w:sz w:val="22"/>
          <w:szCs w:val="22"/>
          <w:lang w:eastAsia="fr-FR"/>
        </w:rPr>
        <w:t xml:space="preserve">(Mm00461015_m1), </w:t>
      </w:r>
      <w:r w:rsidRPr="00F23F62">
        <w:rPr>
          <w:rFonts w:eastAsia="Times New Roman"/>
          <w:i/>
          <w:color w:val="000000"/>
          <w:sz w:val="22"/>
          <w:szCs w:val="22"/>
          <w:lang w:eastAsia="fr-FR"/>
        </w:rPr>
        <w:t xml:space="preserve">Tubb3 </w:t>
      </w:r>
      <w:r w:rsidRPr="00F23F62">
        <w:rPr>
          <w:rFonts w:eastAsia="Times New Roman"/>
          <w:color w:val="000000"/>
          <w:sz w:val="22"/>
          <w:szCs w:val="22"/>
          <w:lang w:eastAsia="fr-FR"/>
        </w:rPr>
        <w:t>(Mm00727586_s1).</w:t>
      </w:r>
    </w:p>
    <w:p w:rsidR="00C7731D" w:rsidRPr="00F23F62" w:rsidRDefault="00C7731D" w:rsidP="00F23F62">
      <w:pPr>
        <w:spacing w:line="276" w:lineRule="auto"/>
        <w:jc w:val="both"/>
        <w:rPr>
          <w:rFonts w:eastAsia="Times New Roman"/>
          <w:color w:val="000000"/>
          <w:sz w:val="22"/>
          <w:szCs w:val="22"/>
          <w:lang w:eastAsia="fr-FR"/>
        </w:rPr>
      </w:pPr>
    </w:p>
    <w:p w:rsidR="00C633A3" w:rsidRPr="00F23F62" w:rsidRDefault="00C633A3" w:rsidP="00F23F62">
      <w:pPr>
        <w:spacing w:line="276" w:lineRule="auto"/>
        <w:jc w:val="both"/>
        <w:rPr>
          <w:sz w:val="22"/>
          <w:szCs w:val="22"/>
        </w:rPr>
      </w:pPr>
      <w:r w:rsidRPr="00F23F62">
        <w:rPr>
          <w:rStyle w:val="Strong"/>
          <w:sz w:val="22"/>
          <w:szCs w:val="22"/>
        </w:rPr>
        <w:t>Tissue preparation, histology, and immunohistochemistry</w:t>
      </w:r>
      <w:r w:rsidR="004E4558" w:rsidRPr="00F23F62">
        <w:rPr>
          <w:rStyle w:val="Strong"/>
          <w:sz w:val="22"/>
          <w:szCs w:val="22"/>
        </w:rPr>
        <w:t xml:space="preserve">. </w:t>
      </w:r>
      <w:r w:rsidR="00C05C41" w:rsidRPr="00F23F62">
        <w:rPr>
          <w:rStyle w:val="Strong"/>
          <w:sz w:val="22"/>
          <w:szCs w:val="22"/>
        </w:rPr>
        <w:t xml:space="preserve"> </w:t>
      </w:r>
      <w:r w:rsidR="00B90CD6" w:rsidRPr="00F23F62">
        <w:rPr>
          <w:rStyle w:val="Strong"/>
          <w:b w:val="0"/>
          <w:sz w:val="22"/>
          <w:szCs w:val="22"/>
        </w:rPr>
        <w:t>For e</w:t>
      </w:r>
      <w:r w:rsidR="00EB1710" w:rsidRPr="00F23F62">
        <w:rPr>
          <w:rStyle w:val="Strong"/>
          <w:b w:val="0"/>
          <w:sz w:val="22"/>
          <w:szCs w:val="22"/>
        </w:rPr>
        <w:t xml:space="preserve">ach developmental time point, 3 to </w:t>
      </w:r>
      <w:r w:rsidR="00B90CD6" w:rsidRPr="00F23F62">
        <w:rPr>
          <w:rStyle w:val="Strong"/>
          <w:b w:val="0"/>
          <w:sz w:val="22"/>
          <w:szCs w:val="22"/>
        </w:rPr>
        <w:t>4</w:t>
      </w:r>
      <w:r w:rsidR="008E5EEB" w:rsidRPr="00F23F62">
        <w:rPr>
          <w:rStyle w:val="Strong"/>
          <w:b w:val="0"/>
          <w:sz w:val="22"/>
          <w:szCs w:val="22"/>
        </w:rPr>
        <w:t xml:space="preserve"> pups from at least 4 different litters were fixed in 4% paraformaldehyde, rinsed in phosphate-buffered saline, dehydrated through a graded series of ethanol soluti</w:t>
      </w:r>
      <w:r w:rsidR="00424664" w:rsidRPr="00F23F62">
        <w:rPr>
          <w:rStyle w:val="Strong"/>
          <w:b w:val="0"/>
          <w:sz w:val="22"/>
          <w:szCs w:val="22"/>
        </w:rPr>
        <w:t xml:space="preserve">ons to xylene, </w:t>
      </w:r>
      <w:r w:rsidR="008E5EEB" w:rsidRPr="00F23F62">
        <w:rPr>
          <w:rStyle w:val="Strong"/>
          <w:b w:val="0"/>
          <w:sz w:val="22"/>
          <w:szCs w:val="22"/>
        </w:rPr>
        <w:t>embedded in paraffin</w:t>
      </w:r>
      <w:r w:rsidR="00424664" w:rsidRPr="00F23F62">
        <w:rPr>
          <w:rStyle w:val="Strong"/>
          <w:b w:val="0"/>
          <w:sz w:val="22"/>
          <w:szCs w:val="22"/>
        </w:rPr>
        <w:t>, and sectioned for analysis</w:t>
      </w:r>
      <w:r w:rsidR="008E5EEB" w:rsidRPr="00F23F62">
        <w:rPr>
          <w:rStyle w:val="Strong"/>
          <w:b w:val="0"/>
          <w:sz w:val="22"/>
          <w:szCs w:val="22"/>
        </w:rPr>
        <w:t xml:space="preserve">. </w:t>
      </w:r>
      <w:r w:rsidR="00424664" w:rsidRPr="00F23F62">
        <w:rPr>
          <w:rStyle w:val="Strong"/>
          <w:b w:val="0"/>
          <w:sz w:val="22"/>
          <w:szCs w:val="22"/>
        </w:rPr>
        <w:t xml:space="preserve"> Body weights were determined </w:t>
      </w:r>
      <w:r w:rsidR="00C03A35" w:rsidRPr="00F23F62">
        <w:rPr>
          <w:rStyle w:val="Strong"/>
          <w:b w:val="0"/>
          <w:sz w:val="22"/>
          <w:szCs w:val="22"/>
        </w:rPr>
        <w:t xml:space="preserve">at time of harvest </w:t>
      </w:r>
      <w:r w:rsidR="00424664" w:rsidRPr="00F23F62">
        <w:rPr>
          <w:rStyle w:val="Strong"/>
          <w:b w:val="0"/>
          <w:sz w:val="22"/>
          <w:szCs w:val="22"/>
        </w:rPr>
        <w:t xml:space="preserve">and found to be statistically identical to those mice harvested for biochemical and molecular analysis.  </w:t>
      </w:r>
      <w:r w:rsidR="00502623" w:rsidRPr="00F23F62">
        <w:rPr>
          <w:rStyle w:val="Strong"/>
          <w:b w:val="0"/>
          <w:sz w:val="22"/>
          <w:szCs w:val="22"/>
        </w:rPr>
        <w:t>I</w:t>
      </w:r>
      <w:r w:rsidR="00502623" w:rsidRPr="00F23F62">
        <w:rPr>
          <w:sz w:val="22"/>
          <w:szCs w:val="22"/>
        </w:rPr>
        <w:t xml:space="preserve">mmunohistochemistry was performed </w:t>
      </w:r>
      <w:r w:rsidR="00B90CD6" w:rsidRPr="00F23F62">
        <w:rPr>
          <w:sz w:val="22"/>
          <w:szCs w:val="22"/>
        </w:rPr>
        <w:t xml:space="preserve">on 5-micron sections </w:t>
      </w:r>
      <w:r w:rsidR="00502623" w:rsidRPr="00F23F62">
        <w:rPr>
          <w:sz w:val="22"/>
          <w:szCs w:val="22"/>
        </w:rPr>
        <w:t xml:space="preserve">using an immunoperoxidase method </w:t>
      </w:r>
      <w:r w:rsidR="008E5EEB" w:rsidRPr="00F23F62">
        <w:rPr>
          <w:sz w:val="22"/>
          <w:szCs w:val="22"/>
        </w:rPr>
        <w:t>(VECTASTAIN Elite ABC kit, Vector Laboratories, Burlingame CA)</w:t>
      </w:r>
      <w:r w:rsidR="00B90CD6" w:rsidRPr="00F23F62">
        <w:rPr>
          <w:sz w:val="22"/>
          <w:szCs w:val="22"/>
        </w:rPr>
        <w:t>,</w:t>
      </w:r>
      <w:r w:rsidR="008E5EEB" w:rsidRPr="00F23F62">
        <w:rPr>
          <w:sz w:val="22"/>
          <w:szCs w:val="22"/>
        </w:rPr>
        <w:t xml:space="preserve"> </w:t>
      </w:r>
      <w:r w:rsidR="00B90CD6" w:rsidRPr="00F23F62">
        <w:rPr>
          <w:sz w:val="22"/>
          <w:szCs w:val="22"/>
        </w:rPr>
        <w:t xml:space="preserve">followed by </w:t>
      </w:r>
      <w:r w:rsidR="00502623" w:rsidRPr="00F23F62">
        <w:rPr>
          <w:sz w:val="22"/>
          <w:szCs w:val="22"/>
        </w:rPr>
        <w:t>counterstain</w:t>
      </w:r>
      <w:r w:rsidR="00B90CD6" w:rsidRPr="00F23F62">
        <w:rPr>
          <w:sz w:val="22"/>
          <w:szCs w:val="22"/>
        </w:rPr>
        <w:t>ing</w:t>
      </w:r>
      <w:r w:rsidR="00502623" w:rsidRPr="00F23F62">
        <w:rPr>
          <w:sz w:val="22"/>
          <w:szCs w:val="22"/>
        </w:rPr>
        <w:t xml:space="preserve"> with 0.1% nuclear</w:t>
      </w:r>
      <w:r w:rsidR="008E5EEB" w:rsidRPr="00F23F62">
        <w:rPr>
          <w:sz w:val="22"/>
          <w:szCs w:val="22"/>
        </w:rPr>
        <w:t xml:space="preserve"> </w:t>
      </w:r>
      <w:r w:rsidR="00502623" w:rsidRPr="00F23F62">
        <w:rPr>
          <w:sz w:val="22"/>
          <w:szCs w:val="22"/>
        </w:rPr>
        <w:t xml:space="preserve">fast red. </w:t>
      </w:r>
      <w:r w:rsidR="006560BF" w:rsidRPr="00F23F62">
        <w:rPr>
          <w:sz w:val="22"/>
          <w:szCs w:val="22"/>
        </w:rPr>
        <w:t xml:space="preserve"> </w:t>
      </w:r>
      <w:r w:rsidRPr="00F23F62">
        <w:rPr>
          <w:sz w:val="22"/>
          <w:szCs w:val="22"/>
        </w:rPr>
        <w:t>Primary antibodies were used at the following dilutions:</w:t>
      </w:r>
      <w:r w:rsidR="00C05C41" w:rsidRPr="00F23F62">
        <w:rPr>
          <w:sz w:val="22"/>
          <w:szCs w:val="22"/>
        </w:rPr>
        <w:t xml:space="preserve"> </w:t>
      </w:r>
      <w:r w:rsidRPr="00F23F62">
        <w:rPr>
          <w:sz w:val="22"/>
          <w:szCs w:val="22"/>
        </w:rPr>
        <w:t xml:space="preserve"> </w:t>
      </w:r>
      <w:r w:rsidR="00A33863" w:rsidRPr="00F23F62">
        <w:rPr>
          <w:sz w:val="22"/>
          <w:szCs w:val="22"/>
        </w:rPr>
        <w:t>pan-cytokeratin (1:500, mouse IgG1, Sigma, St Louis, MO), LPCAT</w:t>
      </w:r>
      <w:r w:rsidR="00E63FA9" w:rsidRPr="00F23F62">
        <w:rPr>
          <w:sz w:val="22"/>
          <w:szCs w:val="22"/>
        </w:rPr>
        <w:t>1</w:t>
      </w:r>
      <w:r w:rsidR="00A33863" w:rsidRPr="00F23F62">
        <w:rPr>
          <w:sz w:val="22"/>
          <w:szCs w:val="22"/>
        </w:rPr>
        <w:t xml:space="preserve"> (1:500, guinea pig polyclonal)</w:t>
      </w:r>
      <w:r w:rsidR="00A02BFB" w:rsidRPr="00F23F62">
        <w:rPr>
          <w:sz w:val="22"/>
          <w:szCs w:val="22"/>
        </w:rPr>
        <w:t xml:space="preserve"> </w:t>
      </w:r>
      <w:r w:rsidR="007615EB" w:rsidRPr="00F23F62">
        <w:rPr>
          <w:sz w:val="22"/>
          <w:szCs w:val="22"/>
        </w:rPr>
        <w:t>[</w:t>
      </w:r>
      <w:r w:rsidR="00A02BFB" w:rsidRPr="00F23F62">
        <w:rPr>
          <w:sz w:val="22"/>
          <w:szCs w:val="22"/>
        </w:rPr>
        <w:t>1</w:t>
      </w:r>
      <w:r w:rsidR="007615EB" w:rsidRPr="00F23F62">
        <w:rPr>
          <w:sz w:val="22"/>
          <w:szCs w:val="22"/>
        </w:rPr>
        <w:t>]</w:t>
      </w:r>
      <w:r w:rsidR="00A33863" w:rsidRPr="00F23F62">
        <w:rPr>
          <w:sz w:val="22"/>
          <w:szCs w:val="22"/>
        </w:rPr>
        <w:t xml:space="preserve">, mature SP-B (1:500, rabbit polyclonal, </w:t>
      </w:r>
      <w:r w:rsidR="004364E7" w:rsidRPr="00F23F62">
        <w:rPr>
          <w:sz w:val="22"/>
          <w:szCs w:val="22"/>
        </w:rPr>
        <w:t>Seven Hills Bioreagents, Cincinnati, OH</w:t>
      </w:r>
      <w:r w:rsidR="00A33863" w:rsidRPr="00F23F62">
        <w:rPr>
          <w:sz w:val="22"/>
          <w:szCs w:val="22"/>
        </w:rPr>
        <w:t xml:space="preserve">), pro-SP-C (1:500, rabbit polyclonal, Seven Hills Bioreagents, Cincinnati, OH), </w:t>
      </w:r>
      <w:r w:rsidRPr="00F23F62">
        <w:rPr>
          <w:sz w:val="22"/>
          <w:szCs w:val="22"/>
        </w:rPr>
        <w:t>C/EBP</w:t>
      </w:r>
      <w:r w:rsidRPr="00F23F62">
        <w:rPr>
          <w:rFonts w:ascii="Symbol" w:hAnsi="Symbol"/>
          <w:sz w:val="22"/>
          <w:szCs w:val="22"/>
        </w:rPr>
        <w:t></w:t>
      </w:r>
      <w:r w:rsidRPr="00F23F62">
        <w:rPr>
          <w:sz w:val="22"/>
          <w:szCs w:val="22"/>
        </w:rPr>
        <w:t xml:space="preserve"> (1:2,000, rabbit polyclonal, Santa Cruz Biotechnology Inc., Santa Cruz, CA), FOXA2 (1:4,000, rabbit polyclonal, Seven H</w:t>
      </w:r>
      <w:r w:rsidR="00A33863" w:rsidRPr="00F23F62">
        <w:rPr>
          <w:sz w:val="22"/>
          <w:szCs w:val="22"/>
        </w:rPr>
        <w:t>ills Bioreagents</w:t>
      </w:r>
      <w:r w:rsidRPr="00F23F62">
        <w:rPr>
          <w:sz w:val="22"/>
          <w:szCs w:val="22"/>
        </w:rPr>
        <w:t xml:space="preserve">), </w:t>
      </w:r>
      <w:r w:rsidR="009D282B" w:rsidRPr="00F23F62">
        <w:rPr>
          <w:sz w:val="22"/>
          <w:szCs w:val="22"/>
        </w:rPr>
        <w:t>acetylated α-tubulin (Clone6-11B-1, IgG2b, 1</w:t>
      </w:r>
      <w:r w:rsidR="004364E7" w:rsidRPr="00F23F62">
        <w:rPr>
          <w:sz w:val="22"/>
          <w:szCs w:val="22"/>
        </w:rPr>
        <w:t>:</w:t>
      </w:r>
      <w:r w:rsidR="009D282B" w:rsidRPr="00F23F62">
        <w:rPr>
          <w:sz w:val="22"/>
          <w:szCs w:val="22"/>
        </w:rPr>
        <w:t>2000, Sigma, St Louis, MO), Scgb1a1 (</w:t>
      </w:r>
      <w:r w:rsidR="00B30E88" w:rsidRPr="00F23F62">
        <w:rPr>
          <w:sz w:val="22"/>
          <w:szCs w:val="22"/>
        </w:rPr>
        <w:t>goat polyclonal, 1:5000, Santa Cruz Biotechnology Inc.</w:t>
      </w:r>
      <w:r w:rsidR="009D282B" w:rsidRPr="00F23F62">
        <w:rPr>
          <w:sz w:val="22"/>
          <w:szCs w:val="22"/>
        </w:rPr>
        <w:t>)</w:t>
      </w:r>
      <w:r w:rsidRPr="00F23F62">
        <w:rPr>
          <w:sz w:val="22"/>
          <w:szCs w:val="22"/>
        </w:rPr>
        <w:t xml:space="preserve">. </w:t>
      </w:r>
      <w:r w:rsidR="004364E7" w:rsidRPr="00F23F62">
        <w:rPr>
          <w:sz w:val="22"/>
          <w:szCs w:val="22"/>
        </w:rPr>
        <w:t xml:space="preserve"> Biotinylated </w:t>
      </w:r>
      <w:r w:rsidRPr="00F23F62">
        <w:rPr>
          <w:sz w:val="22"/>
          <w:szCs w:val="22"/>
        </w:rPr>
        <w:t>secondary antibod</w:t>
      </w:r>
      <w:r w:rsidR="00C05C41" w:rsidRPr="00F23F62">
        <w:rPr>
          <w:sz w:val="22"/>
          <w:szCs w:val="22"/>
        </w:rPr>
        <w:t>ies</w:t>
      </w:r>
      <w:r w:rsidRPr="00F23F62">
        <w:rPr>
          <w:sz w:val="22"/>
          <w:szCs w:val="22"/>
        </w:rPr>
        <w:t xml:space="preserve"> </w:t>
      </w:r>
      <w:r w:rsidR="009D282B" w:rsidRPr="00F23F62">
        <w:rPr>
          <w:sz w:val="22"/>
          <w:szCs w:val="22"/>
        </w:rPr>
        <w:t xml:space="preserve">directed to primary antibody host IgGs </w:t>
      </w:r>
      <w:r w:rsidRPr="00F23F62">
        <w:rPr>
          <w:sz w:val="22"/>
          <w:szCs w:val="22"/>
        </w:rPr>
        <w:t>w</w:t>
      </w:r>
      <w:r w:rsidR="00C05C41" w:rsidRPr="00F23F62">
        <w:rPr>
          <w:sz w:val="22"/>
          <w:szCs w:val="22"/>
        </w:rPr>
        <w:t>ere</w:t>
      </w:r>
      <w:r w:rsidRPr="00F23F62">
        <w:rPr>
          <w:sz w:val="22"/>
          <w:szCs w:val="22"/>
        </w:rPr>
        <w:t xml:space="preserve"> used at 1:200 </w:t>
      </w:r>
      <w:r w:rsidR="009D282B" w:rsidRPr="00F23F62">
        <w:rPr>
          <w:sz w:val="22"/>
          <w:szCs w:val="22"/>
        </w:rPr>
        <w:t>(Vector Laboratories, Burlingame CA)</w:t>
      </w:r>
      <w:r w:rsidRPr="00F23F62">
        <w:rPr>
          <w:sz w:val="22"/>
          <w:szCs w:val="22"/>
        </w:rPr>
        <w:t xml:space="preserve">. </w:t>
      </w:r>
      <w:r w:rsidR="00C05C41" w:rsidRPr="00F23F62">
        <w:rPr>
          <w:sz w:val="22"/>
          <w:szCs w:val="22"/>
        </w:rPr>
        <w:t xml:space="preserve"> </w:t>
      </w:r>
      <w:r w:rsidRPr="00F23F62">
        <w:rPr>
          <w:sz w:val="22"/>
          <w:szCs w:val="22"/>
        </w:rPr>
        <w:t>All experiments shown are representative</w:t>
      </w:r>
      <w:r w:rsidRPr="00F23F62">
        <w:rPr>
          <w:sz w:val="22"/>
          <w:szCs w:val="22"/>
          <w:vertAlign w:val="superscript"/>
        </w:rPr>
        <w:t xml:space="preserve"> </w:t>
      </w:r>
      <w:r w:rsidRPr="00F23F62">
        <w:rPr>
          <w:sz w:val="22"/>
          <w:szCs w:val="22"/>
        </w:rPr>
        <w:t xml:space="preserve">of findings from at least </w:t>
      </w:r>
      <w:r w:rsidR="00EB1710" w:rsidRPr="00F23F62">
        <w:rPr>
          <w:sz w:val="22"/>
          <w:szCs w:val="22"/>
        </w:rPr>
        <w:t xml:space="preserve">4 to 12 </w:t>
      </w:r>
      <w:r w:rsidRPr="00F23F62">
        <w:rPr>
          <w:sz w:val="22"/>
          <w:szCs w:val="22"/>
        </w:rPr>
        <w:t>mice</w:t>
      </w:r>
      <w:r w:rsidR="00044AEA" w:rsidRPr="00F23F62">
        <w:rPr>
          <w:sz w:val="22"/>
          <w:szCs w:val="22"/>
        </w:rPr>
        <w:t xml:space="preserve">, </w:t>
      </w:r>
      <w:r w:rsidR="00783F39" w:rsidRPr="00F23F62">
        <w:rPr>
          <w:sz w:val="22"/>
          <w:szCs w:val="22"/>
        </w:rPr>
        <w:t>selected from four different litters</w:t>
      </w:r>
      <w:r w:rsidR="00044AEA" w:rsidRPr="00F23F62">
        <w:rPr>
          <w:sz w:val="22"/>
          <w:szCs w:val="22"/>
        </w:rPr>
        <w:t>,</w:t>
      </w:r>
      <w:r w:rsidR="00EB1710" w:rsidRPr="00F23F62">
        <w:rPr>
          <w:sz w:val="22"/>
          <w:szCs w:val="22"/>
        </w:rPr>
        <w:t xml:space="preserve"> with body weights clustered around the mean for each strain</w:t>
      </w:r>
      <w:r w:rsidRPr="00F23F62">
        <w:rPr>
          <w:sz w:val="22"/>
          <w:szCs w:val="22"/>
        </w:rPr>
        <w:t>.</w:t>
      </w:r>
    </w:p>
    <w:p w:rsidR="00502623" w:rsidRPr="00F23F62" w:rsidRDefault="00B0452F" w:rsidP="00F23F62">
      <w:pPr>
        <w:spacing w:line="276" w:lineRule="auto"/>
        <w:jc w:val="both"/>
        <w:rPr>
          <w:color w:val="000000"/>
          <w:sz w:val="22"/>
          <w:szCs w:val="22"/>
        </w:rPr>
      </w:pPr>
      <w:r w:rsidRPr="00F23F62">
        <w:rPr>
          <w:color w:val="000000"/>
          <w:sz w:val="22"/>
          <w:szCs w:val="22"/>
        </w:rPr>
        <w:fldChar w:fldCharType="begin"/>
      </w:r>
      <w:r w:rsidR="00912C77" w:rsidRPr="00F23F62">
        <w:rPr>
          <w:color w:val="000000"/>
          <w:sz w:val="22"/>
          <w:szCs w:val="22"/>
        </w:rPr>
        <w:instrText xml:space="preserve"> ADDIN EN.REFLIST </w:instrText>
      </w:r>
      <w:r w:rsidRPr="00F23F62">
        <w:rPr>
          <w:color w:val="000000"/>
          <w:sz w:val="22"/>
          <w:szCs w:val="22"/>
        </w:rPr>
        <w:fldChar w:fldCharType="end"/>
      </w:r>
    </w:p>
    <w:p w:rsidR="0016009D" w:rsidRDefault="00502623" w:rsidP="00F23F62">
      <w:pPr>
        <w:spacing w:line="276" w:lineRule="auto"/>
        <w:jc w:val="both"/>
        <w:rPr>
          <w:sz w:val="22"/>
          <w:szCs w:val="22"/>
        </w:rPr>
      </w:pPr>
      <w:r w:rsidRPr="00F23F62">
        <w:rPr>
          <w:rStyle w:val="Strong"/>
          <w:sz w:val="22"/>
          <w:szCs w:val="22"/>
        </w:rPr>
        <w:t>Morphometry.</w:t>
      </w:r>
      <w:r w:rsidRPr="00F23F62">
        <w:rPr>
          <w:sz w:val="22"/>
          <w:szCs w:val="22"/>
        </w:rPr>
        <w:t xml:space="preserve"> </w:t>
      </w:r>
      <w:r w:rsidR="0011464E" w:rsidRPr="00F23F62">
        <w:rPr>
          <w:sz w:val="22"/>
          <w:szCs w:val="22"/>
        </w:rPr>
        <w:t xml:space="preserve"> </w:t>
      </w:r>
      <w:r w:rsidR="00D96D60" w:rsidRPr="00122580">
        <w:rPr>
          <w:sz w:val="22"/>
          <w:szCs w:val="22"/>
        </w:rPr>
        <w:t>Both growth velocity and</w:t>
      </w:r>
      <w:r w:rsidR="00D96D60" w:rsidRPr="00F23F62">
        <w:rPr>
          <w:sz w:val="22"/>
          <w:szCs w:val="22"/>
        </w:rPr>
        <w:t xml:space="preserve"> m</w:t>
      </w:r>
      <w:r w:rsidR="0011464E" w:rsidRPr="00F23F62">
        <w:rPr>
          <w:sz w:val="22"/>
          <w:szCs w:val="22"/>
        </w:rPr>
        <w:t xml:space="preserve">orphometric measurements were </w:t>
      </w:r>
      <w:r w:rsidR="00D96D60" w:rsidRPr="00F23F62">
        <w:rPr>
          <w:sz w:val="22"/>
          <w:szCs w:val="22"/>
        </w:rPr>
        <w:t>established</w:t>
      </w:r>
      <w:r w:rsidR="0011464E" w:rsidRPr="00F23F62">
        <w:rPr>
          <w:sz w:val="22"/>
          <w:szCs w:val="22"/>
        </w:rPr>
        <w:t xml:space="preserve"> </w:t>
      </w:r>
      <w:r w:rsidR="002A4411">
        <w:rPr>
          <w:sz w:val="22"/>
          <w:szCs w:val="22"/>
        </w:rPr>
        <w:t>for</w:t>
      </w:r>
      <w:r w:rsidR="002A4411" w:rsidRPr="00F23F62">
        <w:rPr>
          <w:sz w:val="22"/>
          <w:szCs w:val="22"/>
        </w:rPr>
        <w:t xml:space="preserve"> </w:t>
      </w:r>
      <w:r w:rsidR="0011464E" w:rsidRPr="00F23F62">
        <w:rPr>
          <w:sz w:val="22"/>
          <w:szCs w:val="22"/>
        </w:rPr>
        <w:t xml:space="preserve">fetal lungs harvested on E15.5, E16.5, E17.5, and E18.5 for both strains, and on E19.5 for the A/J strain, since </w:t>
      </w:r>
      <w:r w:rsidR="0011464E" w:rsidRPr="00F23F62">
        <w:rPr>
          <w:rStyle w:val="Strong"/>
          <w:b w:val="0"/>
          <w:sz w:val="22"/>
          <w:szCs w:val="22"/>
        </w:rPr>
        <w:t xml:space="preserve">C57BL/6J dams delivered at E19.5 and A/J dams delivered on E20.5 </w:t>
      </w:r>
      <w:r w:rsidR="0011464E" w:rsidRPr="00F23F62">
        <w:rPr>
          <w:sz w:val="22"/>
          <w:szCs w:val="22"/>
        </w:rPr>
        <w:t>(n=4 animals for each strain and time point).  The relative proportion or percent fractional area (% FX area) of both air space and the tissue compartment was determined by a point-counting</w:t>
      </w:r>
      <w:r w:rsidR="0011464E" w:rsidRPr="00F23F62">
        <w:rPr>
          <w:sz w:val="22"/>
          <w:szCs w:val="22"/>
          <w:vertAlign w:val="superscript"/>
        </w:rPr>
        <w:t xml:space="preserve"> </w:t>
      </w:r>
      <w:r w:rsidR="0011464E" w:rsidRPr="00F23F62">
        <w:rPr>
          <w:sz w:val="22"/>
          <w:szCs w:val="22"/>
        </w:rPr>
        <w:t>method using MetaMorph imaging software (Molecular Devices, Sunnyvale, CA) [</w:t>
      </w:r>
      <w:r w:rsidR="00EB0D6F" w:rsidRPr="00F23F62">
        <w:rPr>
          <w:sz w:val="22"/>
          <w:szCs w:val="22"/>
        </w:rPr>
        <w:t>2</w:t>
      </w:r>
      <w:r w:rsidR="0011464E" w:rsidRPr="00F23F62">
        <w:rPr>
          <w:sz w:val="22"/>
          <w:szCs w:val="22"/>
        </w:rPr>
        <w:t xml:space="preserve">, </w:t>
      </w:r>
      <w:r w:rsidR="00EB0D6F" w:rsidRPr="00F23F62">
        <w:rPr>
          <w:sz w:val="22"/>
          <w:szCs w:val="22"/>
        </w:rPr>
        <w:t>3</w:t>
      </w:r>
      <w:r w:rsidR="0011464E" w:rsidRPr="00F23F62">
        <w:rPr>
          <w:sz w:val="22"/>
          <w:szCs w:val="22"/>
        </w:rPr>
        <w:t xml:space="preserve">].  </w:t>
      </w:r>
      <w:r w:rsidRPr="00F23F62">
        <w:rPr>
          <w:sz w:val="22"/>
          <w:szCs w:val="22"/>
        </w:rPr>
        <w:t xml:space="preserve">Four mice of both strains </w:t>
      </w:r>
      <w:r w:rsidR="00783F39" w:rsidRPr="00F23F62">
        <w:rPr>
          <w:sz w:val="22"/>
          <w:szCs w:val="22"/>
        </w:rPr>
        <w:t>(selected from four different litters</w:t>
      </w:r>
      <w:r w:rsidR="00EB1710" w:rsidRPr="00F23F62">
        <w:rPr>
          <w:sz w:val="22"/>
          <w:szCs w:val="22"/>
        </w:rPr>
        <w:t xml:space="preserve"> as described above</w:t>
      </w:r>
      <w:r w:rsidR="00783F39" w:rsidRPr="00F23F62">
        <w:rPr>
          <w:sz w:val="22"/>
          <w:szCs w:val="22"/>
        </w:rPr>
        <w:t xml:space="preserve">) </w:t>
      </w:r>
      <w:r w:rsidRPr="00F23F62">
        <w:rPr>
          <w:sz w:val="22"/>
          <w:szCs w:val="22"/>
        </w:rPr>
        <w:t xml:space="preserve">were studied at each </w:t>
      </w:r>
      <w:r w:rsidR="00B90CD6" w:rsidRPr="00F23F62">
        <w:rPr>
          <w:sz w:val="22"/>
          <w:szCs w:val="22"/>
        </w:rPr>
        <w:t>developmental time point</w:t>
      </w:r>
      <w:r w:rsidRPr="00F23F62">
        <w:rPr>
          <w:sz w:val="22"/>
          <w:szCs w:val="22"/>
        </w:rPr>
        <w:t xml:space="preserve">. </w:t>
      </w:r>
      <w:r w:rsidR="005E329B">
        <w:rPr>
          <w:sz w:val="22"/>
          <w:szCs w:val="22"/>
        </w:rPr>
        <w:t xml:space="preserve"> </w:t>
      </w:r>
      <w:r w:rsidRPr="00F23F62">
        <w:rPr>
          <w:sz w:val="22"/>
          <w:szCs w:val="22"/>
        </w:rPr>
        <w:t xml:space="preserve">Measurements were performed on one section containing both left and right lungs. </w:t>
      </w:r>
      <w:r w:rsidR="005E329B">
        <w:rPr>
          <w:sz w:val="22"/>
          <w:szCs w:val="22"/>
        </w:rPr>
        <w:t xml:space="preserve"> </w:t>
      </w:r>
      <w:r w:rsidRPr="00F23F62">
        <w:rPr>
          <w:sz w:val="22"/>
          <w:szCs w:val="22"/>
        </w:rPr>
        <w:t xml:space="preserve">Ten </w:t>
      </w:r>
      <w:r w:rsidR="002A4411">
        <w:rPr>
          <w:sz w:val="22"/>
          <w:szCs w:val="22"/>
        </w:rPr>
        <w:t xml:space="preserve">randomly selected </w:t>
      </w:r>
      <w:r w:rsidRPr="00F23F62">
        <w:rPr>
          <w:sz w:val="22"/>
          <w:szCs w:val="22"/>
        </w:rPr>
        <w:t xml:space="preserve">fields per section were analyzed to gather the data. </w:t>
      </w:r>
      <w:r w:rsidR="005E329B">
        <w:rPr>
          <w:sz w:val="22"/>
          <w:szCs w:val="22"/>
        </w:rPr>
        <w:t xml:space="preserve"> </w:t>
      </w:r>
      <w:r w:rsidRPr="00F23F62">
        <w:rPr>
          <w:sz w:val="22"/>
          <w:szCs w:val="22"/>
        </w:rPr>
        <w:t xml:space="preserve">The </w:t>
      </w:r>
      <w:r w:rsidRPr="00F23F62">
        <w:rPr>
          <w:rStyle w:val="Emphasis"/>
          <w:sz w:val="22"/>
          <w:szCs w:val="22"/>
        </w:rPr>
        <w:t>x-</w:t>
      </w:r>
      <w:r w:rsidRPr="00F23F62">
        <w:rPr>
          <w:sz w:val="22"/>
          <w:szCs w:val="22"/>
        </w:rPr>
        <w:t xml:space="preserve"> and </w:t>
      </w:r>
      <w:r w:rsidRPr="00F23F62">
        <w:rPr>
          <w:rStyle w:val="Emphasis"/>
          <w:sz w:val="22"/>
          <w:szCs w:val="22"/>
        </w:rPr>
        <w:t>y</w:t>
      </w:r>
      <w:r w:rsidRPr="00F23F62">
        <w:rPr>
          <w:sz w:val="22"/>
          <w:szCs w:val="22"/>
        </w:rPr>
        <w:t xml:space="preserve">-coordinates for each field measured were selected by a random number generator. </w:t>
      </w:r>
      <w:r w:rsidR="005E329B">
        <w:rPr>
          <w:sz w:val="22"/>
          <w:szCs w:val="22"/>
        </w:rPr>
        <w:t xml:space="preserve"> </w:t>
      </w:r>
      <w:r w:rsidRPr="00F23F62">
        <w:rPr>
          <w:sz w:val="22"/>
          <w:szCs w:val="22"/>
        </w:rPr>
        <w:t>A computer-generated, 108-point</w:t>
      </w:r>
      <w:r w:rsidRPr="00F23F62">
        <w:rPr>
          <w:sz w:val="22"/>
          <w:szCs w:val="22"/>
          <w:vertAlign w:val="superscript"/>
        </w:rPr>
        <w:t xml:space="preserve"> </w:t>
      </w:r>
      <w:r w:rsidRPr="00F23F62">
        <w:rPr>
          <w:sz w:val="22"/>
          <w:szCs w:val="22"/>
        </w:rPr>
        <w:t>lattice grid was superimposed on each field, and the number</w:t>
      </w:r>
      <w:r w:rsidRPr="00F23F62">
        <w:rPr>
          <w:sz w:val="22"/>
          <w:szCs w:val="22"/>
          <w:vertAlign w:val="superscript"/>
        </w:rPr>
        <w:t xml:space="preserve"> </w:t>
      </w:r>
      <w:r w:rsidRPr="00F23F62">
        <w:rPr>
          <w:sz w:val="22"/>
          <w:szCs w:val="22"/>
        </w:rPr>
        <w:t>of intersections (points) falling over ai</w:t>
      </w:r>
      <w:r w:rsidR="005E329B">
        <w:rPr>
          <w:sz w:val="22"/>
          <w:szCs w:val="22"/>
        </w:rPr>
        <w:t>r space or tissue was counted.</w:t>
      </w:r>
    </w:p>
    <w:p w:rsidR="002A4411" w:rsidRDefault="002A4411" w:rsidP="00F23F62">
      <w:pPr>
        <w:spacing w:line="276" w:lineRule="auto"/>
        <w:jc w:val="both"/>
        <w:rPr>
          <w:sz w:val="22"/>
          <w:szCs w:val="22"/>
        </w:rPr>
      </w:pPr>
    </w:p>
    <w:p w:rsidR="002A4411" w:rsidRPr="00F23F62" w:rsidRDefault="00DB7A13" w:rsidP="00F23F62">
      <w:pPr>
        <w:spacing w:line="276" w:lineRule="auto"/>
        <w:jc w:val="both"/>
        <w:rPr>
          <w:sz w:val="22"/>
          <w:szCs w:val="22"/>
        </w:rPr>
      </w:pPr>
      <w:r w:rsidRPr="00DB7A13">
        <w:rPr>
          <w:b/>
          <w:sz w:val="22"/>
          <w:szCs w:val="22"/>
        </w:rPr>
        <w:t>Lipid Analysis</w:t>
      </w:r>
      <w:r w:rsidR="002A4411">
        <w:rPr>
          <w:sz w:val="22"/>
          <w:szCs w:val="22"/>
        </w:rPr>
        <w:t xml:space="preserve">.  </w:t>
      </w:r>
      <w:r w:rsidR="002A4411" w:rsidRPr="00F23F62">
        <w:rPr>
          <w:sz w:val="22"/>
          <w:szCs w:val="22"/>
        </w:rPr>
        <w:t>SatPC was analyzed in pooled homogenates of the left lung from 3 mice at each time point (n=4 pools) [</w:t>
      </w:r>
      <w:r w:rsidR="002A4411">
        <w:rPr>
          <w:sz w:val="22"/>
          <w:szCs w:val="22"/>
        </w:rPr>
        <w:t>4</w:t>
      </w:r>
      <w:r w:rsidR="002A4411" w:rsidRPr="00F23F62">
        <w:rPr>
          <w:sz w:val="22"/>
          <w:szCs w:val="22"/>
        </w:rPr>
        <w:t>].  Lung homogenates were extracted with chloroform:methanol (2:1), and SatPC was isolated from the lipid extract after osmium tetroxide oxidation and quantified by measuring inorganic phosphorus [</w:t>
      </w:r>
      <w:r w:rsidR="002A4411">
        <w:rPr>
          <w:sz w:val="22"/>
          <w:szCs w:val="22"/>
        </w:rPr>
        <w:t>5</w:t>
      </w:r>
      <w:r w:rsidR="002A4411" w:rsidRPr="00F23F62">
        <w:rPr>
          <w:sz w:val="22"/>
          <w:szCs w:val="22"/>
        </w:rPr>
        <w:t>].</w:t>
      </w:r>
    </w:p>
    <w:p w:rsidR="00395760" w:rsidRPr="00F23F62" w:rsidRDefault="00395760" w:rsidP="00F23F62">
      <w:pPr>
        <w:spacing w:line="276" w:lineRule="auto"/>
        <w:jc w:val="both"/>
        <w:rPr>
          <w:sz w:val="22"/>
          <w:szCs w:val="22"/>
        </w:rPr>
      </w:pPr>
    </w:p>
    <w:p w:rsidR="00472DF6" w:rsidRPr="00F23F62" w:rsidRDefault="00472DF6" w:rsidP="00F23F62">
      <w:pPr>
        <w:spacing w:line="276" w:lineRule="auto"/>
        <w:jc w:val="both"/>
        <w:rPr>
          <w:sz w:val="22"/>
          <w:szCs w:val="22"/>
        </w:rPr>
      </w:pPr>
      <w:r w:rsidRPr="00F23F62">
        <w:rPr>
          <w:b/>
          <w:sz w:val="22"/>
          <w:szCs w:val="22"/>
        </w:rPr>
        <w:t xml:space="preserve">Cell culture, </w:t>
      </w:r>
      <w:r w:rsidR="008C0A7B" w:rsidRPr="00F23F62">
        <w:rPr>
          <w:b/>
          <w:sz w:val="22"/>
          <w:szCs w:val="22"/>
        </w:rPr>
        <w:t>transfection</w:t>
      </w:r>
      <w:r w:rsidRPr="00F23F62">
        <w:rPr>
          <w:b/>
          <w:sz w:val="22"/>
          <w:szCs w:val="22"/>
        </w:rPr>
        <w:t xml:space="preserve"> and promoter reporter assays</w:t>
      </w:r>
      <w:r w:rsidRPr="00F23F62">
        <w:rPr>
          <w:sz w:val="22"/>
          <w:szCs w:val="22"/>
        </w:rPr>
        <w:t xml:space="preserve">.  Six-well plates were treated with 0.1 pM promoter-luciferase reporter plasmid per well and when needed 0.025, 0.05, 0.1, or 0.2 pM of specific expression plasmid </w:t>
      </w:r>
      <w:r w:rsidR="008C4623" w:rsidRPr="00122580">
        <w:rPr>
          <w:sz w:val="22"/>
          <w:szCs w:val="22"/>
        </w:rPr>
        <w:t>pCMV</w:t>
      </w:r>
      <w:r w:rsidR="00642A66" w:rsidRPr="00122580">
        <w:rPr>
          <w:i/>
          <w:sz w:val="22"/>
          <w:szCs w:val="22"/>
        </w:rPr>
        <w:t xml:space="preserve"> </w:t>
      </w:r>
      <w:r w:rsidRPr="008C4623">
        <w:rPr>
          <w:sz w:val="22"/>
          <w:szCs w:val="22"/>
        </w:rPr>
        <w:t>CREB1</w:t>
      </w:r>
      <w:r w:rsidRPr="00F23F62">
        <w:rPr>
          <w:sz w:val="22"/>
          <w:szCs w:val="22"/>
        </w:rPr>
        <w:t xml:space="preserve"> or </w:t>
      </w:r>
      <w:r w:rsidR="008C4623" w:rsidRPr="00683ED4">
        <w:t>pCS2-</w:t>
      </w:r>
      <w:r w:rsidR="008C4623" w:rsidRPr="00683ED4">
        <w:sym w:font="Symbol" w:char="F044"/>
      </w:r>
      <w:r w:rsidR="008C4623" w:rsidRPr="00683ED4">
        <w:t>E-Notch NICD (activated form of Notch1)</w:t>
      </w:r>
      <w:r w:rsidRPr="00F23F62">
        <w:rPr>
          <w:sz w:val="22"/>
          <w:szCs w:val="22"/>
        </w:rPr>
        <w:t>.  The amount of transfected plasmid was kept constant by the addition of corresponding backbone DNA, either pcDNA3 or pcDNA5.  pCMV-ß-galactosidase at 0.02 pM was also transfected as the internal control.  After approximately 24 hours, lysates were collected and assayed for ß-galactosidase and luciferase  activities (Promega, Madison, WI).  Light units were measured by luminometry (AutoLumat Plus LB 953, Berthold Technologies, Oak Ridge, TN).  Firefly luciferase activities were normalized (in relative light units) to ß-galactosidase activity.  All assays were performed in triplicate in at least 2 separate experiments.</w:t>
      </w:r>
    </w:p>
    <w:p w:rsidR="00472DF6" w:rsidRPr="00F23F62" w:rsidRDefault="00472DF6" w:rsidP="00F23F62">
      <w:pPr>
        <w:spacing w:line="276" w:lineRule="auto"/>
        <w:jc w:val="both"/>
        <w:rPr>
          <w:color w:val="FF0000"/>
          <w:sz w:val="22"/>
          <w:szCs w:val="22"/>
        </w:rPr>
      </w:pPr>
    </w:p>
    <w:p w:rsidR="0011464E" w:rsidRPr="00F23F62" w:rsidRDefault="00472DF6" w:rsidP="00F23F62">
      <w:pPr>
        <w:spacing w:line="276" w:lineRule="auto"/>
        <w:jc w:val="both"/>
        <w:rPr>
          <w:sz w:val="22"/>
          <w:szCs w:val="22"/>
        </w:rPr>
      </w:pPr>
      <w:r w:rsidRPr="00F23F62">
        <w:rPr>
          <w:b/>
          <w:sz w:val="22"/>
          <w:szCs w:val="22"/>
        </w:rPr>
        <w:t>Statistical analysis</w:t>
      </w:r>
      <w:r w:rsidRPr="00F23F62">
        <w:rPr>
          <w:sz w:val="22"/>
          <w:szCs w:val="22"/>
        </w:rPr>
        <w:t xml:space="preserve">.  Differences between groups were analyzed by applying two-way ANOVA.  </w:t>
      </w:r>
      <w:r w:rsidRPr="00F23F62">
        <w:rPr>
          <w:rStyle w:val="Strong"/>
          <w:b w:val="0"/>
          <w:sz w:val="22"/>
          <w:szCs w:val="22"/>
          <w:shd w:val="clear" w:color="auto" w:fill="FFFFFF"/>
        </w:rPr>
        <w:t>Tukey</w:t>
      </w:r>
      <w:r w:rsidRPr="00F23F62">
        <w:rPr>
          <w:sz w:val="22"/>
          <w:szCs w:val="22"/>
        </w:rPr>
        <w:t xml:space="preserve">'s </w:t>
      </w:r>
      <w:r w:rsidRPr="00F23F62">
        <w:rPr>
          <w:i/>
          <w:iCs/>
          <w:sz w:val="22"/>
          <w:szCs w:val="22"/>
        </w:rPr>
        <w:t>post hoc</w:t>
      </w:r>
      <w:r w:rsidRPr="00F23F62">
        <w:rPr>
          <w:sz w:val="22"/>
          <w:szCs w:val="22"/>
        </w:rPr>
        <w:t xml:space="preserve"> test</w:t>
      </w:r>
      <w:r w:rsidRPr="00F23F62">
        <w:rPr>
          <w:sz w:val="22"/>
          <w:szCs w:val="22"/>
          <w:vertAlign w:val="superscript"/>
        </w:rPr>
        <w:t xml:space="preserve"> </w:t>
      </w:r>
      <w:r w:rsidRPr="00F23F62">
        <w:rPr>
          <w:sz w:val="22"/>
          <w:szCs w:val="22"/>
        </w:rPr>
        <w:t>was used to compare times and groups when there was statistical</w:t>
      </w:r>
      <w:r w:rsidRPr="00F23F62">
        <w:rPr>
          <w:sz w:val="22"/>
          <w:szCs w:val="22"/>
          <w:vertAlign w:val="superscript"/>
        </w:rPr>
        <w:t xml:space="preserve"> </w:t>
      </w:r>
      <w:r w:rsidRPr="00F23F62">
        <w:rPr>
          <w:sz w:val="22"/>
          <w:szCs w:val="22"/>
        </w:rPr>
        <w:t xml:space="preserve">significance.  Values were expressed as mean ± SEM, and </w:t>
      </w:r>
      <w:r w:rsidRPr="00F23F62">
        <w:rPr>
          <w:i/>
          <w:iCs/>
          <w:sz w:val="22"/>
          <w:szCs w:val="22"/>
        </w:rPr>
        <w:t>p values</w:t>
      </w:r>
      <w:r w:rsidRPr="00F23F62">
        <w:rPr>
          <w:sz w:val="22"/>
          <w:szCs w:val="22"/>
        </w:rPr>
        <w:t xml:space="preserve"> less than </w:t>
      </w:r>
      <w:r w:rsidRPr="00F23F62">
        <w:rPr>
          <w:i/>
          <w:iCs/>
          <w:sz w:val="22"/>
          <w:szCs w:val="22"/>
        </w:rPr>
        <w:t>0.05</w:t>
      </w:r>
      <w:r w:rsidRPr="00F23F62">
        <w:rPr>
          <w:sz w:val="22"/>
          <w:szCs w:val="22"/>
        </w:rPr>
        <w:t xml:space="preserve"> were considered statistically significant.  The heat map and clustering of differentially expressed mRNAs was generated using Ward’s minimum variance methods [</w:t>
      </w:r>
      <w:r w:rsidR="00553B85">
        <w:rPr>
          <w:sz w:val="22"/>
          <w:szCs w:val="22"/>
        </w:rPr>
        <w:t>6,7</w:t>
      </w:r>
      <w:r w:rsidRPr="00F23F62">
        <w:rPr>
          <w:sz w:val="22"/>
          <w:szCs w:val="22"/>
        </w:rPr>
        <w:t>].</w:t>
      </w:r>
    </w:p>
    <w:p w:rsidR="0011464E" w:rsidRPr="00F23F62" w:rsidRDefault="0011464E" w:rsidP="00F23F62">
      <w:pPr>
        <w:spacing w:line="276" w:lineRule="auto"/>
        <w:jc w:val="both"/>
        <w:rPr>
          <w:sz w:val="22"/>
          <w:szCs w:val="22"/>
        </w:rPr>
      </w:pPr>
    </w:p>
    <w:p w:rsidR="0011464E" w:rsidRPr="00F23F62" w:rsidRDefault="002A4411" w:rsidP="00F23F62">
      <w:pPr>
        <w:spacing w:line="276" w:lineRule="auto"/>
        <w:jc w:val="both"/>
        <w:rPr>
          <w:b/>
          <w:sz w:val="22"/>
          <w:szCs w:val="22"/>
        </w:rPr>
      </w:pPr>
      <w:r>
        <w:rPr>
          <w:b/>
          <w:sz w:val="22"/>
          <w:szCs w:val="22"/>
        </w:rPr>
        <w:t>mRNA analysis</w:t>
      </w:r>
      <w:r w:rsidR="00553B85">
        <w:rPr>
          <w:b/>
          <w:sz w:val="22"/>
          <w:szCs w:val="22"/>
        </w:rPr>
        <w:t xml:space="preserve">. </w:t>
      </w:r>
      <w:r w:rsidR="00734389">
        <w:rPr>
          <w:b/>
          <w:sz w:val="22"/>
          <w:szCs w:val="22"/>
        </w:rPr>
        <w:t xml:space="preserve"> </w:t>
      </w:r>
      <w:r w:rsidR="0011464E" w:rsidRPr="00F23F62">
        <w:rPr>
          <w:sz w:val="22"/>
          <w:szCs w:val="22"/>
        </w:rPr>
        <w:t xml:space="preserve">Data were normalized to mRNA levels at E15.5 and Log2 transformed for each strain.  Normalized data were subjected to hierarchical clustering using complete linkage to calculate distance between clusters.  mRNAs were correlated with total saturated phosphatidylcholine (SatPC), body weight, lung weight, and normalized SatPC (relative to lung weight and body weight) by Pearson product-moment correlation coefficient. </w:t>
      </w:r>
      <w:r w:rsidR="00F23F62" w:rsidRPr="00122580">
        <w:rPr>
          <w:sz w:val="22"/>
          <w:szCs w:val="22"/>
        </w:rPr>
        <w:t xml:space="preserve">Lung mRNA expression from E17.5 </w:t>
      </w:r>
      <w:r w:rsidR="00F23F62" w:rsidRPr="00122580">
        <w:rPr>
          <w:i/>
          <w:sz w:val="22"/>
          <w:szCs w:val="22"/>
        </w:rPr>
        <w:t>Creb</w:t>
      </w:r>
      <w:r w:rsidR="00F23F62" w:rsidRPr="00122580">
        <w:rPr>
          <w:sz w:val="22"/>
          <w:szCs w:val="22"/>
          <w:vertAlign w:val="superscript"/>
        </w:rPr>
        <w:t xml:space="preserve">-/- </w:t>
      </w:r>
      <w:r w:rsidR="00F23F62" w:rsidRPr="00122580">
        <w:rPr>
          <w:sz w:val="22"/>
          <w:szCs w:val="22"/>
        </w:rPr>
        <w:t xml:space="preserve">mice and </w:t>
      </w:r>
      <w:r w:rsidR="00F23F62" w:rsidRPr="00122580">
        <w:rPr>
          <w:i/>
          <w:sz w:val="22"/>
          <w:szCs w:val="22"/>
        </w:rPr>
        <w:t>Cebpa</w:t>
      </w:r>
      <w:r w:rsidR="00F23F62" w:rsidRPr="00122580">
        <w:rPr>
          <w:sz w:val="22"/>
          <w:szCs w:val="22"/>
          <w:vertAlign w:val="superscript"/>
        </w:rPr>
        <w:t>∆/∆</w:t>
      </w:r>
      <w:r w:rsidR="00F23F62" w:rsidRPr="00122580">
        <w:rPr>
          <w:sz w:val="22"/>
          <w:szCs w:val="22"/>
        </w:rPr>
        <w:t xml:space="preserve"> gene targeted mice at E18 were obtained from http://www.ebi.ac.uk/microarray-as/aer/</w:t>
      </w:r>
      <w:r w:rsidRPr="00122580">
        <w:rPr>
          <w:sz w:val="22"/>
          <w:szCs w:val="22"/>
        </w:rPr>
        <w:t>,</w:t>
      </w:r>
      <w:r w:rsidR="00F23F62" w:rsidRPr="00122580">
        <w:rPr>
          <w:sz w:val="22"/>
          <w:szCs w:val="22"/>
        </w:rPr>
        <w:t xml:space="preserve"> Accession number E-MEXP-1295</w:t>
      </w:r>
      <w:r w:rsidRPr="00122580">
        <w:rPr>
          <w:sz w:val="22"/>
          <w:szCs w:val="22"/>
        </w:rPr>
        <w:t>,</w:t>
      </w:r>
      <w:r w:rsidR="00F23F62" w:rsidRPr="00122580">
        <w:rPr>
          <w:sz w:val="22"/>
          <w:szCs w:val="22"/>
        </w:rPr>
        <w:t xml:space="preserve"> and </w:t>
      </w:r>
      <w:r w:rsidR="00E72D30" w:rsidRPr="00122580">
        <w:rPr>
          <w:sz w:val="22"/>
          <w:szCs w:val="22"/>
        </w:rPr>
        <w:t>[8</w:t>
      </w:r>
      <w:r w:rsidR="00F23F62" w:rsidRPr="00122580">
        <w:rPr>
          <w:sz w:val="22"/>
          <w:szCs w:val="22"/>
        </w:rPr>
        <w:t>]</w:t>
      </w:r>
      <w:r w:rsidR="00E72D30" w:rsidRPr="00122580">
        <w:rPr>
          <w:sz w:val="22"/>
          <w:szCs w:val="22"/>
        </w:rPr>
        <w:t xml:space="preserve"> respectively</w:t>
      </w:r>
      <w:r w:rsidR="00F23F62" w:rsidRPr="00122580">
        <w:rPr>
          <w:sz w:val="22"/>
          <w:szCs w:val="22"/>
        </w:rPr>
        <w:t>.</w:t>
      </w:r>
      <w:r w:rsidR="00F23F62" w:rsidRPr="00F23F62">
        <w:rPr>
          <w:sz w:val="22"/>
          <w:szCs w:val="22"/>
        </w:rPr>
        <w:t xml:space="preserve">  </w:t>
      </w:r>
    </w:p>
    <w:p w:rsidR="003D0111" w:rsidRPr="00F23F62" w:rsidRDefault="003D0111" w:rsidP="00F23F62">
      <w:pPr>
        <w:spacing w:line="276" w:lineRule="auto"/>
        <w:jc w:val="both"/>
        <w:rPr>
          <w:sz w:val="22"/>
          <w:szCs w:val="22"/>
        </w:rPr>
      </w:pPr>
    </w:p>
    <w:p w:rsidR="003D0111" w:rsidRPr="00F23F62" w:rsidRDefault="001F1310" w:rsidP="00F23F62">
      <w:pPr>
        <w:spacing w:line="276" w:lineRule="auto"/>
        <w:jc w:val="both"/>
        <w:rPr>
          <w:b/>
          <w:sz w:val="22"/>
          <w:szCs w:val="22"/>
        </w:rPr>
      </w:pPr>
      <w:r w:rsidRPr="00F23F62">
        <w:rPr>
          <w:b/>
          <w:sz w:val="22"/>
          <w:szCs w:val="22"/>
        </w:rPr>
        <w:t>R</w:t>
      </w:r>
      <w:r w:rsidR="001B47FB" w:rsidRPr="00F23F62">
        <w:rPr>
          <w:b/>
          <w:sz w:val="22"/>
          <w:szCs w:val="22"/>
        </w:rPr>
        <w:t>eferences</w:t>
      </w:r>
    </w:p>
    <w:p w:rsidR="007E74E0" w:rsidRPr="00F23F62" w:rsidRDefault="003D0111" w:rsidP="00F23F62">
      <w:pPr>
        <w:spacing w:line="276" w:lineRule="auto"/>
        <w:ind w:left="720" w:hanging="720"/>
        <w:jc w:val="both"/>
        <w:rPr>
          <w:noProof/>
          <w:color w:val="000000"/>
          <w:sz w:val="22"/>
          <w:szCs w:val="22"/>
        </w:rPr>
      </w:pPr>
      <w:r w:rsidRPr="00F23F62">
        <w:rPr>
          <w:sz w:val="22"/>
          <w:szCs w:val="22"/>
        </w:rPr>
        <w:t>1</w:t>
      </w:r>
      <w:r w:rsidR="007615EB" w:rsidRPr="00F23F62">
        <w:rPr>
          <w:sz w:val="22"/>
          <w:szCs w:val="22"/>
        </w:rPr>
        <w:t>.</w:t>
      </w:r>
      <w:r w:rsidR="007E74E0" w:rsidRPr="00F23F62">
        <w:rPr>
          <w:sz w:val="22"/>
          <w:szCs w:val="22"/>
        </w:rPr>
        <w:tab/>
      </w:r>
      <w:r w:rsidRPr="00F23F62">
        <w:rPr>
          <w:noProof/>
          <w:color w:val="000000"/>
          <w:sz w:val="22"/>
          <w:szCs w:val="22"/>
        </w:rPr>
        <w:t xml:space="preserve">Bridges JP, Ikegami M, Brilli LL, Chen X, Mason RJ, </w:t>
      </w:r>
      <w:r w:rsidR="00D320A2" w:rsidRPr="00F23F62">
        <w:rPr>
          <w:noProof/>
          <w:color w:val="000000"/>
          <w:sz w:val="22"/>
          <w:szCs w:val="22"/>
        </w:rPr>
        <w:t xml:space="preserve">et al. </w:t>
      </w:r>
      <w:r w:rsidRPr="00F23F62">
        <w:rPr>
          <w:noProof/>
          <w:color w:val="000000"/>
          <w:sz w:val="22"/>
          <w:szCs w:val="22"/>
        </w:rPr>
        <w:t>(2010) LPCAT1 regulates surfactant phospholipid synthesis and is required for transitioning to air breathing in mice.  J Clin Invest 120:</w:t>
      </w:r>
      <w:r w:rsidR="00D320A2" w:rsidRPr="00F23F62">
        <w:rPr>
          <w:noProof/>
          <w:color w:val="000000"/>
          <w:sz w:val="22"/>
          <w:szCs w:val="22"/>
        </w:rPr>
        <w:t xml:space="preserve"> </w:t>
      </w:r>
      <w:r w:rsidRPr="00F23F62">
        <w:rPr>
          <w:noProof/>
          <w:color w:val="000000"/>
          <w:sz w:val="22"/>
          <w:szCs w:val="22"/>
        </w:rPr>
        <w:t>1736-1748.</w:t>
      </w:r>
    </w:p>
    <w:p w:rsidR="007E74E0" w:rsidRPr="00F23F62" w:rsidRDefault="00EB0D6F" w:rsidP="00F23F62">
      <w:pPr>
        <w:spacing w:line="276" w:lineRule="auto"/>
        <w:ind w:left="720" w:hanging="720"/>
        <w:jc w:val="both"/>
        <w:rPr>
          <w:noProof/>
          <w:color w:val="000000"/>
          <w:sz w:val="22"/>
          <w:szCs w:val="22"/>
        </w:rPr>
      </w:pPr>
      <w:bookmarkStart w:id="0" w:name="_ENREF_27"/>
      <w:r w:rsidRPr="00F23F62">
        <w:rPr>
          <w:noProof/>
          <w:color w:val="000000"/>
          <w:sz w:val="22"/>
          <w:szCs w:val="22"/>
        </w:rPr>
        <w:t>2</w:t>
      </w:r>
      <w:r w:rsidR="007E74E0" w:rsidRPr="00F23F62">
        <w:rPr>
          <w:noProof/>
          <w:color w:val="000000"/>
          <w:sz w:val="22"/>
          <w:szCs w:val="22"/>
        </w:rPr>
        <w:t>.</w:t>
      </w:r>
      <w:r w:rsidR="007E74E0" w:rsidRPr="00F23F62">
        <w:rPr>
          <w:noProof/>
          <w:color w:val="000000"/>
          <w:sz w:val="22"/>
          <w:szCs w:val="22"/>
        </w:rPr>
        <w:tab/>
        <w:t xml:space="preserve">Besnard V, Wert SE, Kaestner KH, Whitsett JA. </w:t>
      </w:r>
      <w:r w:rsidR="00D320A2" w:rsidRPr="00F23F62">
        <w:rPr>
          <w:noProof/>
          <w:color w:val="000000"/>
          <w:sz w:val="22"/>
          <w:szCs w:val="22"/>
        </w:rPr>
        <w:t>(2005)</w:t>
      </w:r>
      <w:r w:rsidR="007E74E0" w:rsidRPr="00F23F62">
        <w:rPr>
          <w:noProof/>
          <w:color w:val="000000"/>
          <w:sz w:val="22"/>
          <w:szCs w:val="22"/>
        </w:rPr>
        <w:t xml:space="preserve"> Stage-specific regulation of respiratory epithelial cell differentiation by Foxa1.  Am J Physiol 289:</w:t>
      </w:r>
      <w:r w:rsidR="00D320A2" w:rsidRPr="00F23F62">
        <w:rPr>
          <w:noProof/>
          <w:color w:val="000000"/>
          <w:sz w:val="22"/>
          <w:szCs w:val="22"/>
        </w:rPr>
        <w:t xml:space="preserve"> </w:t>
      </w:r>
      <w:r w:rsidR="007E74E0" w:rsidRPr="00F23F62">
        <w:rPr>
          <w:noProof/>
          <w:color w:val="000000"/>
          <w:sz w:val="22"/>
          <w:szCs w:val="22"/>
        </w:rPr>
        <w:t>L750-L759.</w:t>
      </w:r>
      <w:bookmarkEnd w:id="0"/>
    </w:p>
    <w:p w:rsidR="007E74E0" w:rsidRPr="00F23F62" w:rsidRDefault="00EB0D6F" w:rsidP="00F23F62">
      <w:pPr>
        <w:spacing w:line="276" w:lineRule="auto"/>
        <w:ind w:left="720" w:hanging="720"/>
        <w:jc w:val="both"/>
        <w:rPr>
          <w:noProof/>
          <w:color w:val="000000"/>
          <w:sz w:val="22"/>
          <w:szCs w:val="22"/>
        </w:rPr>
      </w:pPr>
      <w:bookmarkStart w:id="1" w:name="_ENREF_28"/>
      <w:r w:rsidRPr="00F23F62">
        <w:rPr>
          <w:noProof/>
          <w:color w:val="000000"/>
          <w:sz w:val="22"/>
          <w:szCs w:val="22"/>
        </w:rPr>
        <w:t>3</w:t>
      </w:r>
      <w:r w:rsidR="007E74E0" w:rsidRPr="00F23F62">
        <w:rPr>
          <w:noProof/>
          <w:color w:val="000000"/>
          <w:sz w:val="22"/>
          <w:szCs w:val="22"/>
        </w:rPr>
        <w:t>.</w:t>
      </w:r>
      <w:r w:rsidR="007E74E0" w:rsidRPr="00F23F62">
        <w:rPr>
          <w:noProof/>
          <w:color w:val="000000"/>
          <w:sz w:val="22"/>
          <w:szCs w:val="22"/>
        </w:rPr>
        <w:tab/>
        <w:t xml:space="preserve">Bolender RP, Hyde DM, Dehoff RT. </w:t>
      </w:r>
      <w:r w:rsidR="00D320A2" w:rsidRPr="00F23F62">
        <w:rPr>
          <w:noProof/>
          <w:color w:val="000000"/>
          <w:sz w:val="22"/>
          <w:szCs w:val="22"/>
        </w:rPr>
        <w:t>(1993)</w:t>
      </w:r>
      <w:r w:rsidR="007E74E0" w:rsidRPr="00F23F62">
        <w:rPr>
          <w:noProof/>
          <w:color w:val="000000"/>
          <w:sz w:val="22"/>
          <w:szCs w:val="22"/>
        </w:rPr>
        <w:t xml:space="preserve"> Lung morphometry: a new generation of tools and experiments for organ, tissue, cell, and molecular biology.  Am J Physiol 265:</w:t>
      </w:r>
      <w:r w:rsidR="00D320A2" w:rsidRPr="00F23F62">
        <w:rPr>
          <w:noProof/>
          <w:color w:val="000000"/>
          <w:sz w:val="22"/>
          <w:szCs w:val="22"/>
        </w:rPr>
        <w:t xml:space="preserve"> </w:t>
      </w:r>
      <w:r w:rsidR="007E74E0" w:rsidRPr="00F23F62">
        <w:rPr>
          <w:noProof/>
          <w:color w:val="000000"/>
          <w:sz w:val="22"/>
          <w:szCs w:val="22"/>
        </w:rPr>
        <w:t>L521-L548.</w:t>
      </w:r>
      <w:bookmarkEnd w:id="1"/>
    </w:p>
    <w:p w:rsidR="002A4411" w:rsidRDefault="00EB0D6F" w:rsidP="002A4411">
      <w:pPr>
        <w:spacing w:line="276" w:lineRule="auto"/>
        <w:ind w:left="720" w:hanging="720"/>
        <w:jc w:val="both"/>
        <w:rPr>
          <w:noProof/>
          <w:color w:val="000000"/>
          <w:sz w:val="22"/>
          <w:szCs w:val="22"/>
        </w:rPr>
      </w:pPr>
      <w:bookmarkStart w:id="2" w:name="_ENREF_29"/>
      <w:r w:rsidRPr="00F23F62">
        <w:rPr>
          <w:noProof/>
          <w:color w:val="000000"/>
          <w:sz w:val="22"/>
          <w:szCs w:val="22"/>
        </w:rPr>
        <w:t>4.</w:t>
      </w:r>
      <w:r w:rsidRPr="00F23F62">
        <w:rPr>
          <w:noProof/>
          <w:color w:val="000000"/>
          <w:sz w:val="22"/>
          <w:szCs w:val="22"/>
        </w:rPr>
        <w:tab/>
      </w:r>
      <w:r w:rsidR="002A4411" w:rsidRPr="00F23F62">
        <w:rPr>
          <w:noProof/>
          <w:color w:val="000000"/>
          <w:sz w:val="22"/>
          <w:szCs w:val="22"/>
        </w:rPr>
        <w:t>Bartlett GR.</w:t>
      </w:r>
      <w:r w:rsidR="00122580">
        <w:rPr>
          <w:noProof/>
          <w:color w:val="000000"/>
          <w:sz w:val="22"/>
          <w:szCs w:val="22"/>
        </w:rPr>
        <w:t xml:space="preserve"> </w:t>
      </w:r>
      <w:r w:rsidR="002A4411" w:rsidRPr="00F23F62">
        <w:rPr>
          <w:noProof/>
          <w:color w:val="000000"/>
          <w:sz w:val="22"/>
          <w:szCs w:val="22"/>
        </w:rPr>
        <w:t>(1959) Phosphorus assay in column chromatography.  J Biol Chem 234: 466-468.</w:t>
      </w:r>
    </w:p>
    <w:p w:rsidR="002A4411" w:rsidRDefault="00553B85" w:rsidP="00F23F62">
      <w:pPr>
        <w:spacing w:line="276" w:lineRule="auto"/>
        <w:ind w:left="720" w:hanging="720"/>
        <w:jc w:val="both"/>
        <w:rPr>
          <w:noProof/>
          <w:color w:val="000000"/>
          <w:sz w:val="22"/>
          <w:szCs w:val="22"/>
        </w:rPr>
      </w:pPr>
      <w:r>
        <w:rPr>
          <w:noProof/>
          <w:color w:val="000000"/>
          <w:sz w:val="22"/>
          <w:szCs w:val="22"/>
        </w:rPr>
        <w:t>5.</w:t>
      </w:r>
      <w:r w:rsidR="002A4411">
        <w:rPr>
          <w:noProof/>
          <w:color w:val="000000"/>
          <w:sz w:val="22"/>
          <w:szCs w:val="22"/>
        </w:rPr>
        <w:tab/>
      </w:r>
      <w:r w:rsidR="002A4411" w:rsidRPr="00F23F62">
        <w:rPr>
          <w:noProof/>
          <w:color w:val="000000"/>
          <w:sz w:val="22"/>
          <w:szCs w:val="22"/>
        </w:rPr>
        <w:t>Jobe A, Kirkpatrick E, Gluck L. (1978) Labeling of phospholipids in the surfactant and subcellular fractions of rabbit lung.  J Biol Chem 253: 3810-3816.</w:t>
      </w:r>
    </w:p>
    <w:p w:rsidR="00EB0D6F" w:rsidRPr="00F23F62" w:rsidRDefault="00553B85" w:rsidP="00F23F62">
      <w:pPr>
        <w:spacing w:line="276" w:lineRule="auto"/>
        <w:ind w:left="720" w:hanging="720"/>
        <w:jc w:val="both"/>
        <w:rPr>
          <w:noProof/>
          <w:color w:val="000000"/>
          <w:sz w:val="22"/>
          <w:szCs w:val="22"/>
        </w:rPr>
      </w:pPr>
      <w:r>
        <w:rPr>
          <w:noProof/>
          <w:color w:val="000000"/>
          <w:sz w:val="22"/>
          <w:szCs w:val="22"/>
        </w:rPr>
        <w:t>6.</w:t>
      </w:r>
      <w:r w:rsidR="002A4411">
        <w:rPr>
          <w:noProof/>
          <w:color w:val="000000"/>
          <w:sz w:val="22"/>
          <w:szCs w:val="22"/>
        </w:rPr>
        <w:tab/>
      </w:r>
      <w:r w:rsidR="00EB0D6F" w:rsidRPr="00F23F62">
        <w:rPr>
          <w:noProof/>
          <w:color w:val="000000"/>
          <w:sz w:val="22"/>
          <w:szCs w:val="22"/>
        </w:rPr>
        <w:t xml:space="preserve">Milligan GW. </w:t>
      </w:r>
      <w:r w:rsidR="00D320A2" w:rsidRPr="00F23F62">
        <w:rPr>
          <w:noProof/>
          <w:color w:val="000000"/>
          <w:sz w:val="22"/>
          <w:szCs w:val="22"/>
        </w:rPr>
        <w:t>(1980)</w:t>
      </w:r>
      <w:r w:rsidR="00EB0D6F" w:rsidRPr="00F23F62">
        <w:rPr>
          <w:noProof/>
          <w:color w:val="000000"/>
          <w:sz w:val="22"/>
          <w:szCs w:val="22"/>
        </w:rPr>
        <w:t xml:space="preserve"> An Examination of the Effect of Six Types of Error Perturbation on Fifteen Clustering Algorithms. Psychometrika 45:</w:t>
      </w:r>
      <w:r w:rsidR="00D320A2" w:rsidRPr="00F23F62">
        <w:rPr>
          <w:noProof/>
          <w:color w:val="000000"/>
          <w:sz w:val="22"/>
          <w:szCs w:val="22"/>
        </w:rPr>
        <w:t xml:space="preserve"> </w:t>
      </w:r>
      <w:r w:rsidR="00EB0D6F" w:rsidRPr="00F23F62">
        <w:rPr>
          <w:noProof/>
          <w:color w:val="000000"/>
          <w:sz w:val="22"/>
          <w:szCs w:val="22"/>
        </w:rPr>
        <w:t>325-342.</w:t>
      </w:r>
    </w:p>
    <w:p w:rsidR="00EB0D6F" w:rsidRPr="00F23F62" w:rsidRDefault="00553B85" w:rsidP="00F23F62">
      <w:pPr>
        <w:spacing w:line="276" w:lineRule="auto"/>
        <w:ind w:left="720" w:hanging="720"/>
        <w:jc w:val="both"/>
        <w:rPr>
          <w:noProof/>
          <w:color w:val="000000"/>
          <w:sz w:val="22"/>
          <w:szCs w:val="22"/>
        </w:rPr>
      </w:pPr>
      <w:bookmarkStart w:id="3" w:name="_ENREF_32"/>
      <w:r>
        <w:rPr>
          <w:noProof/>
          <w:color w:val="000000"/>
          <w:sz w:val="22"/>
          <w:szCs w:val="22"/>
        </w:rPr>
        <w:t>7</w:t>
      </w:r>
      <w:r w:rsidR="00EB0D6F" w:rsidRPr="00F23F62">
        <w:rPr>
          <w:noProof/>
          <w:color w:val="000000"/>
          <w:sz w:val="22"/>
          <w:szCs w:val="22"/>
        </w:rPr>
        <w:t>.</w:t>
      </w:r>
      <w:r w:rsidR="00EB0D6F" w:rsidRPr="00F23F62">
        <w:rPr>
          <w:noProof/>
          <w:color w:val="000000"/>
          <w:sz w:val="22"/>
          <w:szCs w:val="22"/>
        </w:rPr>
        <w:tab/>
        <w:t xml:space="preserve">Ward JH, Jr. </w:t>
      </w:r>
      <w:r w:rsidR="00D320A2" w:rsidRPr="00F23F62">
        <w:rPr>
          <w:noProof/>
          <w:color w:val="000000"/>
          <w:sz w:val="22"/>
          <w:szCs w:val="22"/>
        </w:rPr>
        <w:t xml:space="preserve">(1963) </w:t>
      </w:r>
      <w:r w:rsidR="00EB0D6F" w:rsidRPr="00F23F62">
        <w:rPr>
          <w:noProof/>
          <w:color w:val="000000"/>
          <w:sz w:val="22"/>
          <w:szCs w:val="22"/>
        </w:rPr>
        <w:t>Hierarchical grouping to optimize an objective function. JASA 58:</w:t>
      </w:r>
      <w:r w:rsidR="00D320A2" w:rsidRPr="00F23F62">
        <w:rPr>
          <w:noProof/>
          <w:color w:val="000000"/>
          <w:sz w:val="22"/>
          <w:szCs w:val="22"/>
        </w:rPr>
        <w:t xml:space="preserve"> </w:t>
      </w:r>
      <w:r w:rsidR="00EB0D6F" w:rsidRPr="00F23F62">
        <w:rPr>
          <w:noProof/>
          <w:color w:val="000000"/>
          <w:sz w:val="22"/>
          <w:szCs w:val="22"/>
        </w:rPr>
        <w:t>236-244.</w:t>
      </w:r>
      <w:bookmarkEnd w:id="3"/>
    </w:p>
    <w:bookmarkEnd w:id="2"/>
    <w:p w:rsidR="006C498D" w:rsidRDefault="00E72D30" w:rsidP="00F23F62">
      <w:pPr>
        <w:spacing w:line="276" w:lineRule="auto"/>
        <w:ind w:left="720" w:hanging="720"/>
        <w:jc w:val="both"/>
        <w:rPr>
          <w:noProof/>
          <w:sz w:val="22"/>
        </w:rPr>
      </w:pPr>
      <w:r w:rsidRPr="00122580">
        <w:rPr>
          <w:noProof/>
          <w:sz w:val="22"/>
        </w:rPr>
        <w:t>8.</w:t>
      </w:r>
      <w:r w:rsidRPr="00122580">
        <w:rPr>
          <w:noProof/>
          <w:sz w:val="22"/>
        </w:rPr>
        <w:tab/>
        <w:t xml:space="preserve">Martis PC, Whitsett JA, Xu Y, Perl AK, Wan H, et al. </w:t>
      </w:r>
      <w:r w:rsidR="006C498D">
        <w:rPr>
          <w:noProof/>
          <w:sz w:val="22"/>
        </w:rPr>
        <w:t xml:space="preserve">(2006) </w:t>
      </w:r>
      <w:r w:rsidRPr="00122580">
        <w:rPr>
          <w:noProof/>
          <w:sz w:val="22"/>
        </w:rPr>
        <w:t>C/EBPalpha is required for lung maturation at birth.  Development 133: 1155-1164.</w:t>
      </w:r>
    </w:p>
    <w:sectPr w:rsidR="006C498D" w:rsidSect="003D0111">
      <w:headerReference w:type="default" r:id="rId6"/>
      <w:footerReference w:type="default" r:id="rId7"/>
      <w:pgSz w:w="12240" w:h="15840"/>
      <w:pgMar w:top="1440" w:right="1080" w:bottom="1440" w:left="1080" w:footer="86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11" w:rsidRDefault="002A4411" w:rsidP="00C633A3">
      <w:r>
        <w:separator/>
      </w:r>
    </w:p>
  </w:endnote>
  <w:endnote w:type="continuationSeparator" w:id="0">
    <w:p w:rsidR="002A4411" w:rsidRDefault="002A4411" w:rsidP="00C63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0918"/>
      <w:docPartObj>
        <w:docPartGallery w:val="Page Numbers (Bottom of Page)"/>
        <w:docPartUnique/>
      </w:docPartObj>
    </w:sdtPr>
    <w:sdtContent>
      <w:p w:rsidR="002A4411" w:rsidRDefault="00B0452F">
        <w:pPr>
          <w:pStyle w:val="Footer"/>
          <w:jc w:val="right"/>
        </w:pPr>
        <w:fldSimple w:instr=" PAGE   \* MERGEFORMAT ">
          <w:r w:rsidR="007B72EF">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11" w:rsidRDefault="002A4411" w:rsidP="00C633A3">
      <w:r>
        <w:separator/>
      </w:r>
    </w:p>
  </w:footnote>
  <w:footnote w:type="continuationSeparator" w:id="0">
    <w:p w:rsidR="002A4411" w:rsidRDefault="002A4411" w:rsidP="00C633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11" w:rsidRDefault="002A4411">
    <w:pPr>
      <w:pStyle w:val="Header"/>
    </w:pPr>
    <w:r>
      <w:t>Besnard et al.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MOD.enl&lt;/item&gt;&lt;/Libraries&gt;&lt;/ENLibraries&gt;"/>
  </w:docVars>
  <w:rsids>
    <w:rsidRoot w:val="00C633A3"/>
    <w:rsid w:val="000032CC"/>
    <w:rsid w:val="00017D45"/>
    <w:rsid w:val="00023B54"/>
    <w:rsid w:val="00044AEA"/>
    <w:rsid w:val="000507FE"/>
    <w:rsid w:val="00081D00"/>
    <w:rsid w:val="0008668E"/>
    <w:rsid w:val="000C1E6D"/>
    <w:rsid w:val="000C5D6D"/>
    <w:rsid w:val="000C643B"/>
    <w:rsid w:val="000D0837"/>
    <w:rsid w:val="000D3F25"/>
    <w:rsid w:val="000D404D"/>
    <w:rsid w:val="000D6E65"/>
    <w:rsid w:val="000E76C2"/>
    <w:rsid w:val="00107AC0"/>
    <w:rsid w:val="0011464E"/>
    <w:rsid w:val="001210E9"/>
    <w:rsid w:val="00122580"/>
    <w:rsid w:val="001244DD"/>
    <w:rsid w:val="00124644"/>
    <w:rsid w:val="00126A89"/>
    <w:rsid w:val="00142327"/>
    <w:rsid w:val="0016009D"/>
    <w:rsid w:val="00161B88"/>
    <w:rsid w:val="001633F0"/>
    <w:rsid w:val="00165A77"/>
    <w:rsid w:val="00166EA8"/>
    <w:rsid w:val="0017094E"/>
    <w:rsid w:val="00181894"/>
    <w:rsid w:val="001918E8"/>
    <w:rsid w:val="00193DA8"/>
    <w:rsid w:val="00193DE5"/>
    <w:rsid w:val="001A7431"/>
    <w:rsid w:val="001B47FB"/>
    <w:rsid w:val="001C4727"/>
    <w:rsid w:val="001E5B73"/>
    <w:rsid w:val="001E770D"/>
    <w:rsid w:val="001F1310"/>
    <w:rsid w:val="001F1912"/>
    <w:rsid w:val="001F62CB"/>
    <w:rsid w:val="00201DE6"/>
    <w:rsid w:val="0020707E"/>
    <w:rsid w:val="00214288"/>
    <w:rsid w:val="002430EB"/>
    <w:rsid w:val="00251AFA"/>
    <w:rsid w:val="002540D1"/>
    <w:rsid w:val="002740BB"/>
    <w:rsid w:val="0028262E"/>
    <w:rsid w:val="00283D12"/>
    <w:rsid w:val="00286CB9"/>
    <w:rsid w:val="002A4411"/>
    <w:rsid w:val="002A7510"/>
    <w:rsid w:val="002C7D02"/>
    <w:rsid w:val="002D4B0B"/>
    <w:rsid w:val="002E1223"/>
    <w:rsid w:val="002E77B1"/>
    <w:rsid w:val="002F128F"/>
    <w:rsid w:val="00300D58"/>
    <w:rsid w:val="00305C38"/>
    <w:rsid w:val="003060B3"/>
    <w:rsid w:val="00317062"/>
    <w:rsid w:val="003317B8"/>
    <w:rsid w:val="00332AA6"/>
    <w:rsid w:val="00333E88"/>
    <w:rsid w:val="003443B3"/>
    <w:rsid w:val="003529CF"/>
    <w:rsid w:val="00372DB9"/>
    <w:rsid w:val="003733A8"/>
    <w:rsid w:val="00381589"/>
    <w:rsid w:val="003858E7"/>
    <w:rsid w:val="00395760"/>
    <w:rsid w:val="00396276"/>
    <w:rsid w:val="003A2ADB"/>
    <w:rsid w:val="003A334B"/>
    <w:rsid w:val="003B39ED"/>
    <w:rsid w:val="003B59AC"/>
    <w:rsid w:val="003B77F0"/>
    <w:rsid w:val="003C0CB0"/>
    <w:rsid w:val="003D0111"/>
    <w:rsid w:val="003E4522"/>
    <w:rsid w:val="003E78DB"/>
    <w:rsid w:val="003F0E91"/>
    <w:rsid w:val="003F3AF8"/>
    <w:rsid w:val="00406D11"/>
    <w:rsid w:val="00416F7F"/>
    <w:rsid w:val="00424664"/>
    <w:rsid w:val="00431A1C"/>
    <w:rsid w:val="004364E7"/>
    <w:rsid w:val="004411C2"/>
    <w:rsid w:val="0044265D"/>
    <w:rsid w:val="00443E6D"/>
    <w:rsid w:val="00472DF6"/>
    <w:rsid w:val="00473CC3"/>
    <w:rsid w:val="0048173A"/>
    <w:rsid w:val="004828CE"/>
    <w:rsid w:val="00483AA9"/>
    <w:rsid w:val="00485277"/>
    <w:rsid w:val="00495AEF"/>
    <w:rsid w:val="004B026C"/>
    <w:rsid w:val="004D0896"/>
    <w:rsid w:val="004E2CB5"/>
    <w:rsid w:val="004E4558"/>
    <w:rsid w:val="004F29A8"/>
    <w:rsid w:val="00500BE3"/>
    <w:rsid w:val="00502623"/>
    <w:rsid w:val="005030D0"/>
    <w:rsid w:val="00504F3D"/>
    <w:rsid w:val="00510EA0"/>
    <w:rsid w:val="00511C2B"/>
    <w:rsid w:val="005164F6"/>
    <w:rsid w:val="0051672F"/>
    <w:rsid w:val="005177EF"/>
    <w:rsid w:val="00524E3B"/>
    <w:rsid w:val="0053573B"/>
    <w:rsid w:val="00542256"/>
    <w:rsid w:val="00543D75"/>
    <w:rsid w:val="00553B85"/>
    <w:rsid w:val="005734A6"/>
    <w:rsid w:val="005755D0"/>
    <w:rsid w:val="00585531"/>
    <w:rsid w:val="005C24F6"/>
    <w:rsid w:val="005C3BCF"/>
    <w:rsid w:val="005E329B"/>
    <w:rsid w:val="005E702D"/>
    <w:rsid w:val="005F44DF"/>
    <w:rsid w:val="0060045E"/>
    <w:rsid w:val="00606CAA"/>
    <w:rsid w:val="00610B05"/>
    <w:rsid w:val="00610D50"/>
    <w:rsid w:val="00614719"/>
    <w:rsid w:val="00634131"/>
    <w:rsid w:val="006423F3"/>
    <w:rsid w:val="00642A66"/>
    <w:rsid w:val="006467FD"/>
    <w:rsid w:val="00651185"/>
    <w:rsid w:val="00652312"/>
    <w:rsid w:val="006560BF"/>
    <w:rsid w:val="00661252"/>
    <w:rsid w:val="0068424C"/>
    <w:rsid w:val="0068446D"/>
    <w:rsid w:val="00685738"/>
    <w:rsid w:val="00687E4D"/>
    <w:rsid w:val="006C0AF8"/>
    <w:rsid w:val="006C2641"/>
    <w:rsid w:val="006C3257"/>
    <w:rsid w:val="006C46CC"/>
    <w:rsid w:val="006C498D"/>
    <w:rsid w:val="006D02ED"/>
    <w:rsid w:val="006D0E56"/>
    <w:rsid w:val="006F07D9"/>
    <w:rsid w:val="006F114A"/>
    <w:rsid w:val="00700CC7"/>
    <w:rsid w:val="00703E5D"/>
    <w:rsid w:val="00704C40"/>
    <w:rsid w:val="00706B4C"/>
    <w:rsid w:val="00710A2F"/>
    <w:rsid w:val="00724969"/>
    <w:rsid w:val="00725B6E"/>
    <w:rsid w:val="00727E42"/>
    <w:rsid w:val="00734389"/>
    <w:rsid w:val="00734688"/>
    <w:rsid w:val="0074075C"/>
    <w:rsid w:val="00745ECC"/>
    <w:rsid w:val="00754C2D"/>
    <w:rsid w:val="00761070"/>
    <w:rsid w:val="007615EB"/>
    <w:rsid w:val="007622F6"/>
    <w:rsid w:val="007755F9"/>
    <w:rsid w:val="00775908"/>
    <w:rsid w:val="00781F22"/>
    <w:rsid w:val="00783F39"/>
    <w:rsid w:val="007910BF"/>
    <w:rsid w:val="00795AE1"/>
    <w:rsid w:val="007A4DFC"/>
    <w:rsid w:val="007B349F"/>
    <w:rsid w:val="007B72EF"/>
    <w:rsid w:val="007C35C0"/>
    <w:rsid w:val="007D0A76"/>
    <w:rsid w:val="007D49A3"/>
    <w:rsid w:val="007E74E0"/>
    <w:rsid w:val="007E7CAF"/>
    <w:rsid w:val="007E7E19"/>
    <w:rsid w:val="007F2996"/>
    <w:rsid w:val="007F45D9"/>
    <w:rsid w:val="007F6A56"/>
    <w:rsid w:val="00806266"/>
    <w:rsid w:val="008202DB"/>
    <w:rsid w:val="00821ED6"/>
    <w:rsid w:val="008360D5"/>
    <w:rsid w:val="008419D0"/>
    <w:rsid w:val="008439E0"/>
    <w:rsid w:val="00855325"/>
    <w:rsid w:val="00861601"/>
    <w:rsid w:val="00866340"/>
    <w:rsid w:val="00867AD7"/>
    <w:rsid w:val="00871A15"/>
    <w:rsid w:val="00872615"/>
    <w:rsid w:val="00874B70"/>
    <w:rsid w:val="00886601"/>
    <w:rsid w:val="00895AF9"/>
    <w:rsid w:val="00896608"/>
    <w:rsid w:val="008B3B04"/>
    <w:rsid w:val="008C0685"/>
    <w:rsid w:val="008C0A7B"/>
    <w:rsid w:val="008C4623"/>
    <w:rsid w:val="008E5EEB"/>
    <w:rsid w:val="008F2784"/>
    <w:rsid w:val="009048B0"/>
    <w:rsid w:val="00906056"/>
    <w:rsid w:val="009119B9"/>
    <w:rsid w:val="00912C77"/>
    <w:rsid w:val="00921827"/>
    <w:rsid w:val="00941E7D"/>
    <w:rsid w:val="00954FB8"/>
    <w:rsid w:val="009659C5"/>
    <w:rsid w:val="009661E8"/>
    <w:rsid w:val="009671B9"/>
    <w:rsid w:val="00982AF3"/>
    <w:rsid w:val="00994382"/>
    <w:rsid w:val="009A359D"/>
    <w:rsid w:val="009D282B"/>
    <w:rsid w:val="009D68D3"/>
    <w:rsid w:val="009D7D42"/>
    <w:rsid w:val="009E5BC6"/>
    <w:rsid w:val="00A02BFB"/>
    <w:rsid w:val="00A0385A"/>
    <w:rsid w:val="00A07A91"/>
    <w:rsid w:val="00A149D4"/>
    <w:rsid w:val="00A16A13"/>
    <w:rsid w:val="00A21059"/>
    <w:rsid w:val="00A2603A"/>
    <w:rsid w:val="00A2760D"/>
    <w:rsid w:val="00A33846"/>
    <w:rsid w:val="00A33863"/>
    <w:rsid w:val="00A410DC"/>
    <w:rsid w:val="00A5757F"/>
    <w:rsid w:val="00A634FD"/>
    <w:rsid w:val="00A66101"/>
    <w:rsid w:val="00A711B3"/>
    <w:rsid w:val="00A81E3A"/>
    <w:rsid w:val="00A8230D"/>
    <w:rsid w:val="00A83AB0"/>
    <w:rsid w:val="00A83D52"/>
    <w:rsid w:val="00A94658"/>
    <w:rsid w:val="00A95F26"/>
    <w:rsid w:val="00A96F69"/>
    <w:rsid w:val="00AA1038"/>
    <w:rsid w:val="00AB0838"/>
    <w:rsid w:val="00AB3306"/>
    <w:rsid w:val="00AB4E26"/>
    <w:rsid w:val="00AB60D5"/>
    <w:rsid w:val="00AC1866"/>
    <w:rsid w:val="00AE450A"/>
    <w:rsid w:val="00AE6E57"/>
    <w:rsid w:val="00AF058B"/>
    <w:rsid w:val="00AF52AD"/>
    <w:rsid w:val="00B0452F"/>
    <w:rsid w:val="00B30E88"/>
    <w:rsid w:val="00B366FD"/>
    <w:rsid w:val="00B42B3A"/>
    <w:rsid w:val="00B445CC"/>
    <w:rsid w:val="00B57C41"/>
    <w:rsid w:val="00B60018"/>
    <w:rsid w:val="00B6571E"/>
    <w:rsid w:val="00B86C8E"/>
    <w:rsid w:val="00B90CD6"/>
    <w:rsid w:val="00B93545"/>
    <w:rsid w:val="00B96EBF"/>
    <w:rsid w:val="00BB0FA4"/>
    <w:rsid w:val="00BB171D"/>
    <w:rsid w:val="00BB53A8"/>
    <w:rsid w:val="00BC73F4"/>
    <w:rsid w:val="00BC73F6"/>
    <w:rsid w:val="00BC7AEE"/>
    <w:rsid w:val="00BD22E0"/>
    <w:rsid w:val="00BD23FC"/>
    <w:rsid w:val="00BD6243"/>
    <w:rsid w:val="00BE14FE"/>
    <w:rsid w:val="00BF2A88"/>
    <w:rsid w:val="00C01100"/>
    <w:rsid w:val="00C03A35"/>
    <w:rsid w:val="00C04E76"/>
    <w:rsid w:val="00C05C41"/>
    <w:rsid w:val="00C22B54"/>
    <w:rsid w:val="00C27E3D"/>
    <w:rsid w:val="00C37226"/>
    <w:rsid w:val="00C56D18"/>
    <w:rsid w:val="00C60D6C"/>
    <w:rsid w:val="00C633A3"/>
    <w:rsid w:val="00C6468C"/>
    <w:rsid w:val="00C64AE2"/>
    <w:rsid w:val="00C76E9F"/>
    <w:rsid w:val="00C7731D"/>
    <w:rsid w:val="00C826FB"/>
    <w:rsid w:val="00C868DD"/>
    <w:rsid w:val="00CA1414"/>
    <w:rsid w:val="00CA37CF"/>
    <w:rsid w:val="00CB6BAB"/>
    <w:rsid w:val="00CC021C"/>
    <w:rsid w:val="00CD0B2D"/>
    <w:rsid w:val="00CE09FB"/>
    <w:rsid w:val="00D02317"/>
    <w:rsid w:val="00D02395"/>
    <w:rsid w:val="00D056AA"/>
    <w:rsid w:val="00D06C0B"/>
    <w:rsid w:val="00D152E4"/>
    <w:rsid w:val="00D16109"/>
    <w:rsid w:val="00D24A79"/>
    <w:rsid w:val="00D320A2"/>
    <w:rsid w:val="00D32131"/>
    <w:rsid w:val="00D46DE8"/>
    <w:rsid w:val="00D64158"/>
    <w:rsid w:val="00D70445"/>
    <w:rsid w:val="00D86A96"/>
    <w:rsid w:val="00D96D60"/>
    <w:rsid w:val="00DA56B9"/>
    <w:rsid w:val="00DB2161"/>
    <w:rsid w:val="00DB2F78"/>
    <w:rsid w:val="00DB5614"/>
    <w:rsid w:val="00DB7A13"/>
    <w:rsid w:val="00DC13CB"/>
    <w:rsid w:val="00DE140C"/>
    <w:rsid w:val="00DF0958"/>
    <w:rsid w:val="00DF5457"/>
    <w:rsid w:val="00DF6CFF"/>
    <w:rsid w:val="00DF6D96"/>
    <w:rsid w:val="00E03BEF"/>
    <w:rsid w:val="00E15338"/>
    <w:rsid w:val="00E32C4A"/>
    <w:rsid w:val="00E45790"/>
    <w:rsid w:val="00E46C14"/>
    <w:rsid w:val="00E506AF"/>
    <w:rsid w:val="00E51E44"/>
    <w:rsid w:val="00E62829"/>
    <w:rsid w:val="00E63FA9"/>
    <w:rsid w:val="00E72D30"/>
    <w:rsid w:val="00E744E5"/>
    <w:rsid w:val="00E83C63"/>
    <w:rsid w:val="00E94B9F"/>
    <w:rsid w:val="00EB0D6F"/>
    <w:rsid w:val="00EB1710"/>
    <w:rsid w:val="00EB2713"/>
    <w:rsid w:val="00EC0574"/>
    <w:rsid w:val="00EC2CF9"/>
    <w:rsid w:val="00EC539C"/>
    <w:rsid w:val="00EC549B"/>
    <w:rsid w:val="00ED3374"/>
    <w:rsid w:val="00ED6A61"/>
    <w:rsid w:val="00EE6C9E"/>
    <w:rsid w:val="00EF2462"/>
    <w:rsid w:val="00F227EB"/>
    <w:rsid w:val="00F23F62"/>
    <w:rsid w:val="00F26CBA"/>
    <w:rsid w:val="00F34F9A"/>
    <w:rsid w:val="00F43AD3"/>
    <w:rsid w:val="00F5587D"/>
    <w:rsid w:val="00F607C0"/>
    <w:rsid w:val="00F67061"/>
    <w:rsid w:val="00F97702"/>
    <w:rsid w:val="00FA0D32"/>
    <w:rsid w:val="00FA60F2"/>
    <w:rsid w:val="00FB48BE"/>
    <w:rsid w:val="00FC0125"/>
    <w:rsid w:val="00FC543C"/>
    <w:rsid w:val="00FC7890"/>
    <w:rsid w:val="00FD142A"/>
    <w:rsid w:val="00FD372D"/>
    <w:rsid w:val="00FD52EC"/>
    <w:rsid w:val="00FE0CAD"/>
  </w:rsids>
  <m:mathPr>
    <m:mathFont m:val="Impact"/>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3A3"/>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633A3"/>
    <w:pPr>
      <w:spacing w:before="100" w:beforeAutospacing="1" w:after="100" w:afterAutospacing="1"/>
    </w:pPr>
    <w:rPr>
      <w:lang w:eastAsia="en-US"/>
    </w:rPr>
  </w:style>
  <w:style w:type="character" w:styleId="Strong">
    <w:name w:val="Strong"/>
    <w:basedOn w:val="DefaultParagraphFont"/>
    <w:uiPriority w:val="22"/>
    <w:qFormat/>
    <w:rsid w:val="00C633A3"/>
    <w:rPr>
      <w:b/>
      <w:bCs/>
    </w:rPr>
  </w:style>
  <w:style w:type="character" w:styleId="Emphasis">
    <w:name w:val="Emphasis"/>
    <w:basedOn w:val="DefaultParagraphFont"/>
    <w:uiPriority w:val="20"/>
    <w:qFormat/>
    <w:rsid w:val="00C633A3"/>
    <w:rPr>
      <w:i/>
      <w:iCs/>
    </w:rPr>
  </w:style>
  <w:style w:type="paragraph" w:styleId="Header">
    <w:name w:val="header"/>
    <w:basedOn w:val="Normal"/>
    <w:link w:val="HeaderChar"/>
    <w:uiPriority w:val="99"/>
    <w:unhideWhenUsed/>
    <w:rsid w:val="00C633A3"/>
    <w:pPr>
      <w:tabs>
        <w:tab w:val="center" w:pos="4536"/>
        <w:tab w:val="right" w:pos="9072"/>
      </w:tabs>
    </w:pPr>
  </w:style>
  <w:style w:type="character" w:customStyle="1" w:styleId="HeaderChar">
    <w:name w:val="Header Char"/>
    <w:basedOn w:val="DefaultParagraphFont"/>
    <w:link w:val="Header"/>
    <w:uiPriority w:val="99"/>
    <w:rsid w:val="00C633A3"/>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C633A3"/>
    <w:pPr>
      <w:tabs>
        <w:tab w:val="center" w:pos="4536"/>
        <w:tab w:val="right" w:pos="9072"/>
      </w:tabs>
    </w:pPr>
  </w:style>
  <w:style w:type="character" w:customStyle="1" w:styleId="FooterChar">
    <w:name w:val="Footer Char"/>
    <w:basedOn w:val="DefaultParagraphFont"/>
    <w:link w:val="Footer"/>
    <w:uiPriority w:val="99"/>
    <w:rsid w:val="00C633A3"/>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C633A3"/>
    <w:rPr>
      <w:rFonts w:ascii="Tahoma" w:hAnsi="Tahoma" w:cs="Tahoma"/>
      <w:sz w:val="16"/>
      <w:szCs w:val="16"/>
    </w:rPr>
  </w:style>
  <w:style w:type="character" w:customStyle="1" w:styleId="BalloonTextChar">
    <w:name w:val="Balloon Text Char"/>
    <w:basedOn w:val="DefaultParagraphFont"/>
    <w:link w:val="BalloonText"/>
    <w:uiPriority w:val="99"/>
    <w:semiHidden/>
    <w:rsid w:val="00C633A3"/>
    <w:rPr>
      <w:rFonts w:ascii="Tahoma" w:eastAsia="MS Mincho" w:hAnsi="Tahoma" w:cs="Tahoma"/>
      <w:sz w:val="16"/>
      <w:szCs w:val="16"/>
      <w:lang w:val="en-US" w:eastAsia="ja-JP"/>
    </w:rPr>
  </w:style>
  <w:style w:type="table" w:styleId="TableGrid">
    <w:name w:val="Table Grid"/>
    <w:basedOn w:val="TableNormal"/>
    <w:uiPriority w:val="59"/>
    <w:rsid w:val="00254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B2F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DB2F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9119B9"/>
    <w:rPr>
      <w:color w:val="0000FF"/>
      <w:u w:val="single"/>
    </w:rPr>
  </w:style>
  <w:style w:type="paragraph" w:styleId="ListParagraph">
    <w:name w:val="List Paragraph"/>
    <w:basedOn w:val="Normal"/>
    <w:uiPriority w:val="34"/>
    <w:qFormat/>
    <w:rsid w:val="007E7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44941">
      <w:bodyDiv w:val="1"/>
      <w:marLeft w:val="0"/>
      <w:marRight w:val="0"/>
      <w:marTop w:val="0"/>
      <w:marBottom w:val="0"/>
      <w:divBdr>
        <w:top w:val="none" w:sz="0" w:space="0" w:color="auto"/>
        <w:left w:val="none" w:sz="0" w:space="0" w:color="auto"/>
        <w:bottom w:val="none" w:sz="0" w:space="0" w:color="auto"/>
        <w:right w:val="none" w:sz="0" w:space="0" w:color="auto"/>
      </w:divBdr>
    </w:div>
    <w:div w:id="474757979">
      <w:bodyDiv w:val="1"/>
      <w:marLeft w:val="0"/>
      <w:marRight w:val="0"/>
      <w:marTop w:val="0"/>
      <w:marBottom w:val="0"/>
      <w:divBdr>
        <w:top w:val="none" w:sz="0" w:space="0" w:color="auto"/>
        <w:left w:val="none" w:sz="0" w:space="0" w:color="auto"/>
        <w:bottom w:val="none" w:sz="0" w:space="0" w:color="auto"/>
        <w:right w:val="none" w:sz="0" w:space="0" w:color="auto"/>
      </w:divBdr>
    </w:div>
    <w:div w:id="635961454">
      <w:bodyDiv w:val="1"/>
      <w:marLeft w:val="0"/>
      <w:marRight w:val="0"/>
      <w:marTop w:val="0"/>
      <w:marBottom w:val="0"/>
      <w:divBdr>
        <w:top w:val="none" w:sz="0" w:space="0" w:color="auto"/>
        <w:left w:val="none" w:sz="0" w:space="0" w:color="auto"/>
        <w:bottom w:val="none" w:sz="0" w:space="0" w:color="auto"/>
        <w:right w:val="none" w:sz="0" w:space="0" w:color="auto"/>
      </w:divBdr>
    </w:div>
    <w:div w:id="913321667">
      <w:bodyDiv w:val="1"/>
      <w:marLeft w:val="0"/>
      <w:marRight w:val="0"/>
      <w:marTop w:val="0"/>
      <w:marBottom w:val="0"/>
      <w:divBdr>
        <w:top w:val="none" w:sz="0" w:space="0" w:color="auto"/>
        <w:left w:val="none" w:sz="0" w:space="0" w:color="auto"/>
        <w:bottom w:val="none" w:sz="0" w:space="0" w:color="auto"/>
        <w:right w:val="none" w:sz="0" w:space="0" w:color="auto"/>
      </w:divBdr>
    </w:div>
    <w:div w:id="1171750439">
      <w:bodyDiv w:val="1"/>
      <w:marLeft w:val="0"/>
      <w:marRight w:val="0"/>
      <w:marTop w:val="0"/>
      <w:marBottom w:val="0"/>
      <w:divBdr>
        <w:top w:val="none" w:sz="0" w:space="0" w:color="auto"/>
        <w:left w:val="none" w:sz="0" w:space="0" w:color="auto"/>
        <w:bottom w:val="none" w:sz="0" w:space="0" w:color="auto"/>
        <w:right w:val="none" w:sz="0" w:space="0" w:color="auto"/>
      </w:divBdr>
    </w:div>
    <w:div w:id="1260217784">
      <w:bodyDiv w:val="1"/>
      <w:marLeft w:val="0"/>
      <w:marRight w:val="0"/>
      <w:marTop w:val="0"/>
      <w:marBottom w:val="0"/>
      <w:divBdr>
        <w:top w:val="none" w:sz="0" w:space="0" w:color="auto"/>
        <w:left w:val="none" w:sz="0" w:space="0" w:color="auto"/>
        <w:bottom w:val="none" w:sz="0" w:space="0" w:color="auto"/>
        <w:right w:val="none" w:sz="0" w:space="0" w:color="auto"/>
      </w:divBdr>
    </w:div>
    <w:div w:id="1378814447">
      <w:bodyDiv w:val="1"/>
      <w:marLeft w:val="0"/>
      <w:marRight w:val="0"/>
      <w:marTop w:val="0"/>
      <w:marBottom w:val="0"/>
      <w:divBdr>
        <w:top w:val="none" w:sz="0" w:space="0" w:color="auto"/>
        <w:left w:val="none" w:sz="0" w:space="0" w:color="auto"/>
        <w:bottom w:val="none" w:sz="0" w:space="0" w:color="auto"/>
        <w:right w:val="none" w:sz="0" w:space="0" w:color="auto"/>
      </w:divBdr>
    </w:div>
    <w:div w:id="1534921442">
      <w:bodyDiv w:val="1"/>
      <w:marLeft w:val="0"/>
      <w:marRight w:val="0"/>
      <w:marTop w:val="0"/>
      <w:marBottom w:val="0"/>
      <w:divBdr>
        <w:top w:val="none" w:sz="0" w:space="0" w:color="auto"/>
        <w:left w:val="none" w:sz="0" w:space="0" w:color="auto"/>
        <w:bottom w:val="none" w:sz="0" w:space="0" w:color="auto"/>
        <w:right w:val="none" w:sz="0" w:space="0" w:color="auto"/>
      </w:divBdr>
    </w:div>
    <w:div w:id="1542861810">
      <w:bodyDiv w:val="1"/>
      <w:marLeft w:val="0"/>
      <w:marRight w:val="0"/>
      <w:marTop w:val="0"/>
      <w:marBottom w:val="0"/>
      <w:divBdr>
        <w:top w:val="none" w:sz="0" w:space="0" w:color="auto"/>
        <w:left w:val="none" w:sz="0" w:space="0" w:color="auto"/>
        <w:bottom w:val="none" w:sz="0" w:space="0" w:color="auto"/>
        <w:right w:val="none" w:sz="0" w:space="0" w:color="auto"/>
      </w:divBdr>
    </w:div>
    <w:div w:id="1595898394">
      <w:bodyDiv w:val="1"/>
      <w:marLeft w:val="0"/>
      <w:marRight w:val="0"/>
      <w:marTop w:val="0"/>
      <w:marBottom w:val="0"/>
      <w:divBdr>
        <w:top w:val="none" w:sz="0" w:space="0" w:color="auto"/>
        <w:left w:val="none" w:sz="0" w:space="0" w:color="auto"/>
        <w:bottom w:val="none" w:sz="0" w:space="0" w:color="auto"/>
        <w:right w:val="none" w:sz="0" w:space="0" w:color="auto"/>
      </w:divBdr>
    </w:div>
    <w:div w:id="1652515597">
      <w:bodyDiv w:val="1"/>
      <w:marLeft w:val="0"/>
      <w:marRight w:val="0"/>
      <w:marTop w:val="0"/>
      <w:marBottom w:val="0"/>
      <w:divBdr>
        <w:top w:val="none" w:sz="0" w:space="0" w:color="auto"/>
        <w:left w:val="none" w:sz="0" w:space="0" w:color="auto"/>
        <w:bottom w:val="none" w:sz="0" w:space="0" w:color="auto"/>
        <w:right w:val="none" w:sz="0" w:space="0" w:color="auto"/>
      </w:divBdr>
    </w:div>
    <w:div w:id="16956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1257</Words>
  <Characters>7168</Characters>
  <Application>Microsoft Macintosh Word</Application>
  <DocSecurity>0</DocSecurity>
  <Lines>59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Ann Maher</cp:lastModifiedBy>
  <cp:revision>3</cp:revision>
  <cp:lastPrinted>2011-05-09T18:25:00Z</cp:lastPrinted>
  <dcterms:created xsi:type="dcterms:W3CDTF">2011-10-05T19:08:00Z</dcterms:created>
  <dcterms:modified xsi:type="dcterms:W3CDTF">2011-10-05T19:34:00Z</dcterms:modified>
</cp:coreProperties>
</file>