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6" w:rsidRPr="000B01ED" w:rsidRDefault="00B43E16" w:rsidP="006C3989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/>
        </w:rPr>
      </w:pPr>
      <w:r w:rsidRPr="000B01ED">
        <w:rPr>
          <w:rFonts w:ascii="Arial" w:hAnsi="Arial"/>
          <w:b/>
        </w:rPr>
        <w:t>Table S1</w:t>
      </w:r>
      <w:r>
        <w:rPr>
          <w:rFonts w:ascii="Arial" w:hAnsi="Arial"/>
          <w:b/>
        </w:rPr>
        <w:t>.</w:t>
      </w:r>
      <w:r w:rsidRPr="000B01ED">
        <w:rPr>
          <w:rFonts w:ascii="Arial" w:hAnsi="Arial"/>
        </w:rPr>
        <w:t xml:space="preserve"> Changes in number of circulating red blood cells and hemoglobin after sorafenib treatment in advanced STS patients (median values with interquartile range; P value from Wilcoxon test, compared to pretreatment values).</w:t>
      </w:r>
    </w:p>
    <w:tbl>
      <w:tblPr>
        <w:tblW w:w="99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350"/>
        <w:gridCol w:w="1350"/>
        <w:gridCol w:w="1215"/>
        <w:gridCol w:w="1215"/>
        <w:gridCol w:w="1215"/>
        <w:gridCol w:w="1215"/>
        <w:gridCol w:w="1215"/>
        <w:gridCol w:w="1215"/>
      </w:tblGrid>
      <w:tr w:rsidR="00B43E16" w:rsidRPr="000B01ED" w:rsidTr="004858B4">
        <w:trPr>
          <w:trHeight w:val="666"/>
        </w:trPr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  <w:b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Pretreatment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Week 1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Week 2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  <w:b/>
              </w:rPr>
              <w:t>Week 3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Week 4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Week 6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43E16" w:rsidRPr="000B01ED" w:rsidRDefault="00B43E16" w:rsidP="004858B4">
            <w:pPr>
              <w:snapToGrid w:val="0"/>
              <w:spacing w:before="240" w:after="240"/>
              <w:jc w:val="center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Week 8</w:t>
            </w:r>
          </w:p>
        </w:tc>
      </w:tr>
      <w:tr w:rsidR="00B43E16" w:rsidRPr="000B01ED" w:rsidTr="004858B4">
        <w:trPr>
          <w:trHeight w:val="247"/>
        </w:trPr>
        <w:tc>
          <w:tcPr>
            <w:tcW w:w="1350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RBCs (th/cmm)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 xml:space="preserve">4.0 [3.7,4.1] 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N=15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4.2 [3.8,4.4]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N=15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shd w:val="clear" w:color="auto" w:fill="C6D9F1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4.3 [4.1,4.5]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N=13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4.1 [3.8,4.3]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N=13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4.0 [3.7,4.4]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N=14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4.0 [3.9,4.3]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N=8</w:t>
            </w: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4.1 [4.0,4.3]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N=7</w:t>
            </w:r>
          </w:p>
        </w:tc>
      </w:tr>
      <w:tr w:rsidR="00B43E16" w:rsidRPr="000B01ED" w:rsidTr="004858B4">
        <w:trPr>
          <w:trHeight w:val="369"/>
        </w:trPr>
        <w:tc>
          <w:tcPr>
            <w:tcW w:w="1350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  <w:i/>
              </w:rPr>
              <w:t>P-</w:t>
            </w:r>
            <w:r w:rsidRPr="000B01ED">
              <w:rPr>
                <w:rFonts w:ascii="Arial Narrow" w:eastAsia="MS Mincho" w:hAnsi="Arial Narrow"/>
              </w:rPr>
              <w:t>value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N/A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0.33</w:t>
            </w:r>
          </w:p>
        </w:tc>
        <w:tc>
          <w:tcPr>
            <w:tcW w:w="1215" w:type="dxa"/>
            <w:shd w:val="clear" w:color="auto" w:fill="C6D9F1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0.022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0.54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0.67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0.55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0.30</w:t>
            </w:r>
          </w:p>
        </w:tc>
      </w:tr>
      <w:tr w:rsidR="00B43E16" w:rsidRPr="000B01ED" w:rsidTr="004858B4">
        <w:trPr>
          <w:trHeight w:val="450"/>
        </w:trPr>
        <w:tc>
          <w:tcPr>
            <w:tcW w:w="1350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b/>
              </w:rPr>
              <w:t>Hgb (mg/ml)</w:t>
            </w:r>
          </w:p>
        </w:tc>
        <w:tc>
          <w:tcPr>
            <w:tcW w:w="1350" w:type="dxa"/>
            <w:tcBorders>
              <w:left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 xml:space="preserve">12 [11,13] 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N=15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13 [11,14]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N=15</w:t>
            </w:r>
          </w:p>
        </w:tc>
        <w:tc>
          <w:tcPr>
            <w:tcW w:w="1215" w:type="dxa"/>
            <w:shd w:val="clear" w:color="auto" w:fill="C6D9F1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14 [12,14]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N=13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13 [11,13]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N=13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13 [11,14]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N=14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13 [13,13]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N=8</w:t>
            </w:r>
          </w:p>
        </w:tc>
        <w:tc>
          <w:tcPr>
            <w:tcW w:w="1215" w:type="dxa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13 [12,14]</w:t>
            </w:r>
          </w:p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N=7</w:t>
            </w:r>
          </w:p>
        </w:tc>
      </w:tr>
      <w:tr w:rsidR="00B43E16" w:rsidRPr="000B01ED" w:rsidTr="004858B4">
        <w:trPr>
          <w:trHeight w:val="246"/>
        </w:trPr>
        <w:tc>
          <w:tcPr>
            <w:tcW w:w="135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rPr>
                <w:rFonts w:ascii="Arial Narrow" w:eastAsia="MS Mincho" w:hAnsi="Arial Narrow"/>
                <w:b/>
              </w:rPr>
            </w:pPr>
            <w:r w:rsidRPr="000B01ED">
              <w:rPr>
                <w:rFonts w:ascii="Arial Narrow" w:eastAsia="MS Mincho" w:hAnsi="Arial Narrow"/>
                <w:i/>
              </w:rPr>
              <w:t>P-</w:t>
            </w:r>
            <w:r w:rsidRPr="000B01ED">
              <w:rPr>
                <w:rFonts w:ascii="Arial Narrow" w:eastAsia="MS Mincho" w:hAnsi="Arial Narrow"/>
              </w:rPr>
              <w:t>value</w:t>
            </w: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N/A</w:t>
            </w: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0.23</w:t>
            </w:r>
          </w:p>
        </w:tc>
        <w:tc>
          <w:tcPr>
            <w:tcW w:w="1215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0.022</w:t>
            </w: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0.73</w:t>
            </w: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0.95</w:t>
            </w: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0.46</w:t>
            </w: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B43E16" w:rsidRPr="000B01ED" w:rsidRDefault="00B43E16" w:rsidP="004858B4">
            <w:pPr>
              <w:snapToGrid w:val="0"/>
              <w:spacing w:before="120" w:after="120"/>
              <w:jc w:val="center"/>
              <w:rPr>
                <w:rFonts w:ascii="Arial Narrow" w:eastAsia="MS Mincho" w:hAnsi="Arial Narrow"/>
              </w:rPr>
            </w:pPr>
            <w:r w:rsidRPr="000B01ED">
              <w:rPr>
                <w:rFonts w:ascii="Arial Narrow" w:eastAsia="MS Mincho" w:hAnsi="Arial Narrow"/>
              </w:rPr>
              <w:t>0.38</w:t>
            </w:r>
          </w:p>
        </w:tc>
      </w:tr>
    </w:tbl>
    <w:p w:rsidR="00B43E16" w:rsidRPr="000B01ED" w:rsidRDefault="00B43E16" w:rsidP="006C3989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/>
        </w:rPr>
      </w:pPr>
    </w:p>
    <w:p w:rsidR="00B43E16" w:rsidRPr="000B01ED" w:rsidRDefault="00B43E16" w:rsidP="006C3989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/>
        </w:rPr>
      </w:pPr>
    </w:p>
    <w:p w:rsidR="00B43E16" w:rsidRPr="000B01ED" w:rsidRDefault="00B43E16" w:rsidP="006C3989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/>
        </w:rPr>
      </w:pPr>
      <w:r w:rsidRPr="000B01ED" w:rsidDel="0017090E">
        <w:rPr>
          <w:rFonts w:ascii="Arial" w:hAnsi="Arial"/>
          <w:b/>
        </w:rPr>
        <w:t xml:space="preserve"> </w:t>
      </w:r>
    </w:p>
    <w:p w:rsidR="00B43E16" w:rsidRDefault="00B43E16" w:rsidP="006C3989"/>
    <w:sectPr w:rsidR="00B43E16" w:rsidSect="0023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989"/>
    <w:rsid w:val="00056287"/>
    <w:rsid w:val="000B01ED"/>
    <w:rsid w:val="000D4CDA"/>
    <w:rsid w:val="0017090E"/>
    <w:rsid w:val="0023623C"/>
    <w:rsid w:val="004858B4"/>
    <w:rsid w:val="006C3989"/>
    <w:rsid w:val="00800D9C"/>
    <w:rsid w:val="008310ED"/>
    <w:rsid w:val="00B43E16"/>
    <w:rsid w:val="00B54702"/>
    <w:rsid w:val="00E03D35"/>
    <w:rsid w:val="00E13DAA"/>
    <w:rsid w:val="00EB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8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Chandrajit Raut</dc:creator>
  <cp:keywords/>
  <dc:description/>
  <cp:lastModifiedBy>Partners Information Systems</cp:lastModifiedBy>
  <cp:revision>2</cp:revision>
  <dcterms:created xsi:type="dcterms:W3CDTF">2011-12-30T17:01:00Z</dcterms:created>
  <dcterms:modified xsi:type="dcterms:W3CDTF">2011-12-30T17:01:00Z</dcterms:modified>
</cp:coreProperties>
</file>