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AB39E" w14:textId="77777777" w:rsidR="007B77BE" w:rsidRPr="0068031A" w:rsidRDefault="007B77BE" w:rsidP="007B77BE">
      <w:pPr>
        <w:spacing w:line="240" w:lineRule="auto"/>
        <w:contextualSpacing/>
        <w:rPr>
          <w:rFonts w:ascii="Times New Roman" w:hAnsi="Times New Roman"/>
          <w:sz w:val="24"/>
        </w:rPr>
      </w:pPr>
      <w:r w:rsidRPr="0068031A">
        <w:rPr>
          <w:rFonts w:ascii="Times New Roman Bold" w:hAnsi="Times New Roman Bold"/>
          <w:sz w:val="24"/>
        </w:rPr>
        <w:t>Table S3</w:t>
      </w:r>
      <w:r w:rsidRPr="0068031A">
        <w:rPr>
          <w:rFonts w:ascii="Times New Roman" w:hAnsi="Times New Roman"/>
          <w:sz w:val="24"/>
        </w:rPr>
        <w:t>:  Summary of data types and number of records used to reconstruct ecological conditions through time.  Archaeological records include published studies on marine fauna from archaeological sites (See Table S4, below).  For qualitative and ethnographic accounts, one record is one description from one publication; multiple descriptions from reports are extracted in many cases.  Rec</w:t>
      </w:r>
      <w:bookmarkStart w:id="0" w:name="_GoBack"/>
      <w:bookmarkEnd w:id="0"/>
      <w:r w:rsidRPr="0068031A">
        <w:rPr>
          <w:rFonts w:ascii="Times New Roman" w:hAnsi="Times New Roman"/>
          <w:sz w:val="24"/>
        </w:rPr>
        <w:t xml:space="preserve">ords for annual fisheries reports include one published report or dataset, which contained catch data for multiple species for one year. </w:t>
      </w:r>
    </w:p>
    <w:p w14:paraId="4E3974D6" w14:textId="77777777" w:rsidR="007B77BE" w:rsidRPr="007B77BE" w:rsidRDefault="007B77BE" w:rsidP="007B77BE">
      <w:pPr>
        <w:spacing w:line="240" w:lineRule="auto"/>
        <w:contextualSpacing/>
        <w:rPr>
          <w:rFonts w:ascii="Times New Roman" w:hAnsi="Times New Roman"/>
        </w:rPr>
      </w:pPr>
    </w:p>
    <w:tbl>
      <w:tblPr>
        <w:tblW w:w="0" w:type="auto"/>
        <w:tblInd w:w="10" w:type="dxa"/>
        <w:tblLayout w:type="fixed"/>
        <w:tblLook w:val="0000" w:firstRow="0" w:lastRow="0" w:firstColumn="0" w:lastColumn="0" w:noHBand="0" w:noVBand="0"/>
      </w:tblPr>
      <w:tblGrid>
        <w:gridCol w:w="6220"/>
        <w:gridCol w:w="2510"/>
      </w:tblGrid>
      <w:tr w:rsidR="007B77BE" w14:paraId="0EA5760F" w14:textId="77777777" w:rsidTr="0068031A">
        <w:trPr>
          <w:cantSplit/>
          <w:trHeight w:val="300"/>
        </w:trPr>
        <w:tc>
          <w:tcPr>
            <w:tcW w:w="6220" w:type="dxa"/>
            <w:tcBorders>
              <w:top w:val="single" w:sz="4" w:space="0" w:color="000000"/>
              <w:left w:val="single" w:sz="8"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0D4417AD" w14:textId="77777777" w:rsidR="007B77BE" w:rsidRPr="0068031A" w:rsidRDefault="007B77BE" w:rsidP="007571C4">
            <w:pPr>
              <w:spacing w:after="0" w:line="240" w:lineRule="auto"/>
              <w:contextualSpacing/>
              <w:rPr>
                <w:rFonts w:asciiTheme="majorHAnsi" w:hAnsiTheme="majorHAnsi"/>
                <w:b/>
              </w:rPr>
            </w:pPr>
            <w:r w:rsidRPr="0068031A">
              <w:rPr>
                <w:rFonts w:asciiTheme="majorHAnsi" w:hAnsiTheme="majorHAnsi"/>
                <w:b/>
              </w:rPr>
              <w:t>Data Type</w:t>
            </w:r>
          </w:p>
        </w:tc>
        <w:tc>
          <w:tcPr>
            <w:tcW w:w="2510" w:type="dxa"/>
            <w:tcBorders>
              <w:top w:val="single" w:sz="4" w:space="0" w:color="000000"/>
              <w:left w:val="none" w:sz="16"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084D0AD6" w14:textId="77777777" w:rsidR="007B77BE" w:rsidRPr="0068031A" w:rsidRDefault="007B77BE" w:rsidP="007571C4">
            <w:pPr>
              <w:spacing w:after="0" w:line="240" w:lineRule="auto"/>
              <w:contextualSpacing/>
              <w:jc w:val="right"/>
              <w:rPr>
                <w:rFonts w:asciiTheme="majorHAnsi" w:hAnsiTheme="majorHAnsi"/>
                <w:b/>
              </w:rPr>
            </w:pPr>
            <w:r w:rsidRPr="0068031A">
              <w:rPr>
                <w:rFonts w:asciiTheme="majorHAnsi" w:hAnsiTheme="majorHAnsi"/>
                <w:b/>
              </w:rPr>
              <w:t>Number of Records</w:t>
            </w:r>
          </w:p>
        </w:tc>
      </w:tr>
      <w:tr w:rsidR="007B77BE" w14:paraId="183A07EB" w14:textId="77777777" w:rsidTr="0068031A">
        <w:trPr>
          <w:cantSplit/>
          <w:trHeight w:val="300"/>
        </w:trPr>
        <w:tc>
          <w:tcPr>
            <w:tcW w:w="6220" w:type="dxa"/>
            <w:tcBorders>
              <w:top w:val="single" w:sz="4"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7CAEC768"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1. Archaeological Studies</w:t>
            </w:r>
          </w:p>
        </w:tc>
        <w:tc>
          <w:tcPr>
            <w:tcW w:w="2510" w:type="dxa"/>
            <w:tcBorders>
              <w:top w:val="single" w:sz="4"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5824D631"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46 (17 total sites)</w:t>
            </w:r>
          </w:p>
        </w:tc>
      </w:tr>
      <w:tr w:rsidR="007B77BE" w14:paraId="73488B7F" w14:textId="77777777" w:rsidTr="0068031A">
        <w:trPr>
          <w:cantSplit/>
          <w:trHeight w:val="260"/>
        </w:trPr>
        <w:tc>
          <w:tcPr>
            <w:tcW w:w="6220"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054E8E5A" w14:textId="77777777" w:rsidR="007B77BE" w:rsidRPr="0068031A" w:rsidRDefault="007B77BE" w:rsidP="007571C4">
            <w:pPr>
              <w:spacing w:after="0" w:line="240" w:lineRule="auto"/>
              <w:contextualSpacing/>
              <w:rPr>
                <w:rFonts w:asciiTheme="majorHAnsi" w:hAnsiTheme="majorHAnsi"/>
              </w:rPr>
            </w:pPr>
          </w:p>
        </w:tc>
        <w:tc>
          <w:tcPr>
            <w:tcW w:w="2510"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31B7CD37" w14:textId="77777777" w:rsidR="007B77BE" w:rsidRPr="0068031A" w:rsidRDefault="007B77BE" w:rsidP="007571C4">
            <w:pPr>
              <w:spacing w:after="0" w:line="240" w:lineRule="auto"/>
              <w:contextualSpacing/>
              <w:jc w:val="right"/>
              <w:rPr>
                <w:rFonts w:asciiTheme="majorHAnsi" w:hAnsiTheme="majorHAnsi"/>
              </w:rPr>
            </w:pPr>
          </w:p>
        </w:tc>
      </w:tr>
      <w:tr w:rsidR="007B77BE" w14:paraId="12AAC12E" w14:textId="77777777" w:rsidTr="0068031A">
        <w:trPr>
          <w:cantSplit/>
          <w:trHeight w:val="260"/>
        </w:trPr>
        <w:tc>
          <w:tcPr>
            <w:tcW w:w="6220"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411C8325"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2. Qualitative Anecdotes &amp; Ethnographic Accounts</w:t>
            </w:r>
          </w:p>
        </w:tc>
        <w:tc>
          <w:tcPr>
            <w:tcW w:w="2510"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7DDFED97"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 </w:t>
            </w:r>
          </w:p>
        </w:tc>
      </w:tr>
      <w:tr w:rsidR="007B77BE" w14:paraId="391A2CF0" w14:textId="77777777" w:rsidTr="0068031A">
        <w:trPr>
          <w:cantSplit/>
          <w:trHeight w:val="260"/>
        </w:trPr>
        <w:tc>
          <w:tcPr>
            <w:tcW w:w="6220" w:type="dxa"/>
            <w:tcBorders>
              <w:top w:val="none" w:sz="16" w:space="0" w:color="000000"/>
              <w:left w:val="single" w:sz="8"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3BC1B6FC"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Guild</w:t>
            </w:r>
          </w:p>
        </w:tc>
        <w:tc>
          <w:tcPr>
            <w:tcW w:w="2510" w:type="dxa"/>
            <w:tcBorders>
              <w:top w:val="none" w:sz="16" w:space="0" w:color="000000"/>
              <w:left w:val="none" w:sz="16"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1195C102" w14:textId="77777777" w:rsidR="007B77BE" w:rsidRPr="0068031A" w:rsidRDefault="007B77BE" w:rsidP="007571C4">
            <w:pPr>
              <w:spacing w:after="0" w:line="240" w:lineRule="auto"/>
              <w:contextualSpacing/>
              <w:jc w:val="right"/>
              <w:rPr>
                <w:rFonts w:asciiTheme="majorHAnsi" w:hAnsiTheme="majorHAnsi"/>
              </w:rPr>
            </w:pPr>
          </w:p>
        </w:tc>
      </w:tr>
      <w:tr w:rsidR="007B77BE" w14:paraId="10F63833" w14:textId="77777777" w:rsidTr="0068031A">
        <w:trPr>
          <w:cantSplit/>
          <w:trHeight w:val="290"/>
        </w:trPr>
        <w:tc>
          <w:tcPr>
            <w:tcW w:w="6220" w:type="dxa"/>
            <w:tcBorders>
              <w:top w:val="single" w:sz="4"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C3ACA68"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Reef Corals</w:t>
            </w:r>
          </w:p>
        </w:tc>
        <w:tc>
          <w:tcPr>
            <w:tcW w:w="2510" w:type="dxa"/>
            <w:tcBorders>
              <w:top w:val="single" w:sz="4"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3673BBBE"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131</w:t>
            </w:r>
          </w:p>
        </w:tc>
      </w:tr>
      <w:tr w:rsidR="007B77BE" w14:paraId="0A23C2C3" w14:textId="77777777" w:rsidTr="0068031A">
        <w:trPr>
          <w:cantSplit/>
          <w:trHeight w:val="221"/>
        </w:trPr>
        <w:tc>
          <w:tcPr>
            <w:tcW w:w="6220"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0D6BDA4" w14:textId="77777777" w:rsidR="007B77BE" w:rsidRPr="0068031A" w:rsidRDefault="007B77BE" w:rsidP="007571C4">
            <w:pPr>
              <w:spacing w:after="0" w:line="240" w:lineRule="auto"/>
              <w:contextualSpacing/>
              <w:rPr>
                <w:rFonts w:asciiTheme="majorHAnsi" w:hAnsiTheme="majorHAnsi"/>
              </w:rPr>
            </w:pPr>
            <w:proofErr w:type="spellStart"/>
            <w:r w:rsidRPr="0068031A">
              <w:rPr>
                <w:rFonts w:asciiTheme="majorHAnsi" w:hAnsiTheme="majorHAnsi"/>
              </w:rPr>
              <w:t>Seagrasses</w:t>
            </w:r>
            <w:proofErr w:type="spellEnd"/>
            <w:r w:rsidRPr="0068031A">
              <w:rPr>
                <w:rFonts w:asciiTheme="majorHAnsi" w:hAnsiTheme="majorHAnsi"/>
              </w:rPr>
              <w:t>/Algae</w:t>
            </w:r>
          </w:p>
        </w:tc>
        <w:tc>
          <w:tcPr>
            <w:tcW w:w="2510"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5936107F"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60</w:t>
            </w:r>
          </w:p>
        </w:tc>
      </w:tr>
      <w:tr w:rsidR="007B77BE" w14:paraId="37BF32E7" w14:textId="77777777" w:rsidTr="0068031A">
        <w:trPr>
          <w:cantSplit/>
          <w:trHeight w:val="212"/>
        </w:trPr>
        <w:tc>
          <w:tcPr>
            <w:tcW w:w="6220"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8F37887"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 xml:space="preserve">Suspension Feeders &amp; </w:t>
            </w:r>
            <w:proofErr w:type="spellStart"/>
            <w:r w:rsidRPr="0068031A">
              <w:rPr>
                <w:rFonts w:asciiTheme="majorHAnsi" w:hAnsiTheme="majorHAnsi"/>
              </w:rPr>
              <w:t>Detritivores</w:t>
            </w:r>
            <w:proofErr w:type="spellEnd"/>
          </w:p>
        </w:tc>
        <w:tc>
          <w:tcPr>
            <w:tcW w:w="2510"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4F6383AC"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74</w:t>
            </w:r>
          </w:p>
        </w:tc>
      </w:tr>
      <w:tr w:rsidR="007B77BE" w14:paraId="0AF4AC43" w14:textId="77777777" w:rsidTr="0068031A">
        <w:trPr>
          <w:cantSplit/>
          <w:trHeight w:val="260"/>
        </w:trPr>
        <w:tc>
          <w:tcPr>
            <w:tcW w:w="6220"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3D10A474"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Small Herbivores</w:t>
            </w:r>
          </w:p>
        </w:tc>
        <w:tc>
          <w:tcPr>
            <w:tcW w:w="2510"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4281DC7E"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180</w:t>
            </w:r>
          </w:p>
        </w:tc>
      </w:tr>
      <w:tr w:rsidR="007B77BE" w14:paraId="7EC9963C" w14:textId="77777777" w:rsidTr="0068031A">
        <w:trPr>
          <w:cantSplit/>
          <w:trHeight w:val="260"/>
        </w:trPr>
        <w:tc>
          <w:tcPr>
            <w:tcW w:w="6220"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67813BB0"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Small Carnivores</w:t>
            </w:r>
          </w:p>
        </w:tc>
        <w:tc>
          <w:tcPr>
            <w:tcW w:w="2510"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63DBB55D"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190</w:t>
            </w:r>
          </w:p>
        </w:tc>
      </w:tr>
      <w:tr w:rsidR="007B77BE" w14:paraId="05816007" w14:textId="77777777" w:rsidTr="0068031A">
        <w:trPr>
          <w:cantSplit/>
          <w:trHeight w:val="260"/>
        </w:trPr>
        <w:tc>
          <w:tcPr>
            <w:tcW w:w="6220"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69579C1"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Large Herbivores</w:t>
            </w:r>
          </w:p>
        </w:tc>
        <w:tc>
          <w:tcPr>
            <w:tcW w:w="2510"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7F6CA19F"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68</w:t>
            </w:r>
          </w:p>
        </w:tc>
      </w:tr>
      <w:tr w:rsidR="007B77BE" w14:paraId="5F74C12E" w14:textId="77777777" w:rsidTr="0068031A">
        <w:trPr>
          <w:cantSplit/>
          <w:trHeight w:val="260"/>
        </w:trPr>
        <w:tc>
          <w:tcPr>
            <w:tcW w:w="6220" w:type="dxa"/>
            <w:tcBorders>
              <w:top w:val="none" w:sz="16" w:space="0" w:color="000000"/>
              <w:left w:val="single" w:sz="8"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4F4DAB68"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Large Carnivores</w:t>
            </w:r>
          </w:p>
        </w:tc>
        <w:tc>
          <w:tcPr>
            <w:tcW w:w="2510" w:type="dxa"/>
            <w:tcBorders>
              <w:top w:val="none" w:sz="16" w:space="0" w:color="000000"/>
              <w:left w:val="none" w:sz="16"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71B59DD4"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287</w:t>
            </w:r>
          </w:p>
        </w:tc>
      </w:tr>
      <w:tr w:rsidR="007B77BE" w14:paraId="371F5C7F" w14:textId="77777777" w:rsidTr="0068031A">
        <w:trPr>
          <w:cantSplit/>
          <w:trHeight w:val="475"/>
        </w:trPr>
        <w:tc>
          <w:tcPr>
            <w:tcW w:w="6220" w:type="dxa"/>
            <w:tcBorders>
              <w:top w:val="single" w:sz="4"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D23E298"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Sub-Total</w:t>
            </w:r>
          </w:p>
          <w:p w14:paraId="04B8B5BE" w14:textId="77777777" w:rsidR="007B77BE" w:rsidRPr="0068031A" w:rsidRDefault="007B77BE" w:rsidP="007571C4">
            <w:pPr>
              <w:spacing w:after="0" w:line="240" w:lineRule="auto"/>
              <w:contextualSpacing/>
              <w:rPr>
                <w:rFonts w:asciiTheme="majorHAnsi" w:hAnsiTheme="majorHAnsi"/>
              </w:rPr>
            </w:pPr>
          </w:p>
        </w:tc>
        <w:tc>
          <w:tcPr>
            <w:tcW w:w="2510" w:type="dxa"/>
            <w:tcBorders>
              <w:top w:val="single" w:sz="4"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3D20E94E"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990</w:t>
            </w:r>
          </w:p>
          <w:p w14:paraId="32A3206A" w14:textId="77777777" w:rsidR="007B77BE" w:rsidRPr="0068031A" w:rsidRDefault="007B77BE" w:rsidP="007571C4">
            <w:pPr>
              <w:spacing w:after="0" w:line="240" w:lineRule="auto"/>
              <w:contextualSpacing/>
              <w:jc w:val="right"/>
              <w:rPr>
                <w:rFonts w:asciiTheme="majorHAnsi" w:hAnsiTheme="majorHAnsi"/>
              </w:rPr>
            </w:pPr>
          </w:p>
        </w:tc>
      </w:tr>
      <w:tr w:rsidR="007B77BE" w14:paraId="39E331BF" w14:textId="77777777" w:rsidTr="0068031A">
        <w:trPr>
          <w:cantSplit/>
          <w:trHeight w:val="320"/>
        </w:trPr>
        <w:tc>
          <w:tcPr>
            <w:tcW w:w="6220" w:type="dxa"/>
            <w:tcBorders>
              <w:top w:val="none" w:sz="16" w:space="0" w:color="000000"/>
              <w:left w:val="single" w:sz="8"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492C53BF"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3. Annual Fisheries Reports</w:t>
            </w:r>
          </w:p>
        </w:tc>
        <w:tc>
          <w:tcPr>
            <w:tcW w:w="2510" w:type="dxa"/>
            <w:tcBorders>
              <w:top w:val="none" w:sz="16" w:space="0" w:color="000000"/>
              <w:left w:val="none" w:sz="16"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44959789"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 </w:t>
            </w:r>
          </w:p>
        </w:tc>
      </w:tr>
      <w:tr w:rsidR="007B77BE" w14:paraId="6551DD3E" w14:textId="77777777" w:rsidTr="0068031A">
        <w:trPr>
          <w:cantSplit/>
          <w:trHeight w:val="290"/>
        </w:trPr>
        <w:tc>
          <w:tcPr>
            <w:tcW w:w="6220" w:type="dxa"/>
            <w:tcBorders>
              <w:top w:val="single" w:sz="4"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5BF83118"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US Bureau of Fisheries (1900, 1903)</w:t>
            </w:r>
          </w:p>
        </w:tc>
        <w:tc>
          <w:tcPr>
            <w:tcW w:w="2510" w:type="dxa"/>
            <w:tcBorders>
              <w:top w:val="single" w:sz="4"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5B805536"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2</w:t>
            </w:r>
          </w:p>
        </w:tc>
      </w:tr>
      <w:tr w:rsidR="007B77BE" w14:paraId="0A8DDD16" w14:textId="77777777" w:rsidTr="0068031A">
        <w:trPr>
          <w:cantSplit/>
          <w:trHeight w:val="260"/>
        </w:trPr>
        <w:tc>
          <w:tcPr>
            <w:tcW w:w="6220"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0A1918E"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Territory of Hawai‘i, Division of Fish &amp; Game (1926-1938)</w:t>
            </w:r>
          </w:p>
        </w:tc>
        <w:tc>
          <w:tcPr>
            <w:tcW w:w="2510"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2159BBFF"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13</w:t>
            </w:r>
          </w:p>
        </w:tc>
      </w:tr>
      <w:tr w:rsidR="007B77BE" w14:paraId="5A44BC10" w14:textId="77777777" w:rsidTr="0068031A">
        <w:trPr>
          <w:cantSplit/>
          <w:trHeight w:val="205"/>
        </w:trPr>
        <w:tc>
          <w:tcPr>
            <w:tcW w:w="6220" w:type="dxa"/>
            <w:tcBorders>
              <w:top w:val="none" w:sz="16" w:space="0" w:color="000000"/>
              <w:left w:val="single" w:sz="8"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7F675859"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State of Hawai‘i, Division of Aquatic Resources (1948-2008)</w:t>
            </w:r>
          </w:p>
        </w:tc>
        <w:tc>
          <w:tcPr>
            <w:tcW w:w="2510" w:type="dxa"/>
            <w:tcBorders>
              <w:top w:val="none" w:sz="16" w:space="0" w:color="000000"/>
              <w:left w:val="none" w:sz="16"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3AB559D9"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40</w:t>
            </w:r>
          </w:p>
        </w:tc>
      </w:tr>
      <w:tr w:rsidR="007B77BE" w14:paraId="5E0A34AB" w14:textId="77777777" w:rsidTr="0068031A">
        <w:trPr>
          <w:cantSplit/>
          <w:trHeight w:val="290"/>
        </w:trPr>
        <w:tc>
          <w:tcPr>
            <w:tcW w:w="6220" w:type="dxa"/>
            <w:tcBorders>
              <w:top w:val="single" w:sz="4"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vAlign w:val="bottom"/>
          </w:tcPr>
          <w:p w14:paraId="19EF90AD" w14:textId="77777777" w:rsidR="007B77BE" w:rsidRPr="0068031A" w:rsidRDefault="007B77BE" w:rsidP="007571C4">
            <w:pPr>
              <w:spacing w:after="0" w:line="240" w:lineRule="auto"/>
              <w:contextualSpacing/>
              <w:rPr>
                <w:rFonts w:asciiTheme="majorHAnsi" w:hAnsiTheme="majorHAnsi"/>
              </w:rPr>
            </w:pPr>
            <w:r w:rsidRPr="0068031A">
              <w:rPr>
                <w:rFonts w:asciiTheme="majorHAnsi" w:hAnsiTheme="majorHAnsi"/>
              </w:rPr>
              <w:t>Sub-Total</w:t>
            </w:r>
          </w:p>
        </w:tc>
        <w:tc>
          <w:tcPr>
            <w:tcW w:w="2510" w:type="dxa"/>
            <w:tcBorders>
              <w:top w:val="single" w:sz="4"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14:paraId="168DEEAE" w14:textId="77777777" w:rsidR="007B77BE" w:rsidRPr="0068031A" w:rsidRDefault="007B77BE" w:rsidP="007571C4">
            <w:pPr>
              <w:spacing w:after="0" w:line="240" w:lineRule="auto"/>
              <w:contextualSpacing/>
              <w:jc w:val="right"/>
              <w:rPr>
                <w:rFonts w:asciiTheme="majorHAnsi" w:hAnsiTheme="majorHAnsi"/>
              </w:rPr>
            </w:pPr>
            <w:r w:rsidRPr="0068031A">
              <w:rPr>
                <w:rFonts w:asciiTheme="majorHAnsi" w:hAnsiTheme="majorHAnsi"/>
              </w:rPr>
              <w:t>55</w:t>
            </w:r>
          </w:p>
        </w:tc>
      </w:tr>
      <w:tr w:rsidR="007B77BE" w14:paraId="0FF46558" w14:textId="77777777" w:rsidTr="0068031A">
        <w:trPr>
          <w:cantSplit/>
          <w:trHeight w:val="205"/>
        </w:trPr>
        <w:tc>
          <w:tcPr>
            <w:tcW w:w="6220" w:type="dxa"/>
            <w:tcBorders>
              <w:top w:val="none" w:sz="16" w:space="0" w:color="000000"/>
              <w:left w:val="single" w:sz="8" w:space="0" w:color="000000"/>
              <w:bottom w:val="single" w:sz="4" w:space="0" w:color="000000"/>
              <w:right w:val="none" w:sz="16" w:space="0" w:color="000000"/>
            </w:tcBorders>
            <w:shd w:val="clear" w:color="auto" w:fill="auto"/>
            <w:tcMar>
              <w:top w:w="0" w:type="dxa"/>
              <w:left w:w="0" w:type="dxa"/>
              <w:bottom w:w="0" w:type="dxa"/>
              <w:right w:w="0" w:type="dxa"/>
            </w:tcMar>
            <w:vAlign w:val="bottom"/>
          </w:tcPr>
          <w:p w14:paraId="48936B72" w14:textId="77777777" w:rsidR="007B77BE" w:rsidRDefault="007B77BE" w:rsidP="007571C4">
            <w:pPr>
              <w:spacing w:after="0" w:line="240" w:lineRule="auto"/>
              <w:contextualSpacing/>
            </w:pPr>
          </w:p>
        </w:tc>
        <w:tc>
          <w:tcPr>
            <w:tcW w:w="2510" w:type="dxa"/>
            <w:tcBorders>
              <w:top w:val="none" w:sz="16" w:space="0" w:color="000000"/>
              <w:left w:val="none" w:sz="16"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5A8DE0C2" w14:textId="77777777" w:rsidR="007B77BE" w:rsidRDefault="007B77BE" w:rsidP="007571C4">
            <w:pPr>
              <w:spacing w:after="0" w:line="240" w:lineRule="auto"/>
              <w:contextualSpacing/>
              <w:jc w:val="right"/>
              <w:rPr>
                <w:rFonts w:ascii="Times New Roman" w:hAnsi="Times New Roman"/>
              </w:rPr>
            </w:pPr>
            <w:r>
              <w:rPr>
                <w:rFonts w:ascii="Times New Roman" w:hAnsi="Times New Roman"/>
              </w:rPr>
              <w:t> </w:t>
            </w:r>
          </w:p>
        </w:tc>
      </w:tr>
    </w:tbl>
    <w:p w14:paraId="2DE0A5E7" w14:textId="77777777" w:rsidR="007B77BE" w:rsidRDefault="007B77BE"/>
    <w:sectPr w:rsidR="007B77BE" w:rsidSect="007B7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BE"/>
    <w:rsid w:val="005079F8"/>
    <w:rsid w:val="0068031A"/>
    <w:rsid w:val="007B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E5A4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BE"/>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BE"/>
    <w:pPr>
      <w:spacing w:after="200" w:line="276" w:lineRule="auto"/>
    </w:pPr>
    <w:rPr>
      <w:rFonts w:ascii="Calibri" w:eastAsia="ヒラギノ角ゴ Pro W3" w:hAnsi="Calibri" w:cs="Times New Roman"/>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Macintosh Word</Application>
  <DocSecurity>0</DocSecurity>
  <Lines>7</Lines>
  <Paragraphs>2</Paragraphs>
  <ScaleCrop>false</ScaleCrop>
  <Company>University of Hawaii</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Kittinger</dc:creator>
  <cp:keywords/>
  <dc:description/>
  <cp:lastModifiedBy>John Kittinger</cp:lastModifiedBy>
  <cp:revision>2</cp:revision>
  <dcterms:created xsi:type="dcterms:W3CDTF">2011-09-06T20:06:00Z</dcterms:created>
  <dcterms:modified xsi:type="dcterms:W3CDTF">2011-09-06T21:51:00Z</dcterms:modified>
</cp:coreProperties>
</file>