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B" w:rsidRDefault="0014774B" w:rsidP="0014774B">
      <w:pPr>
        <w:keepNext/>
        <w:spacing w:before="100" w:beforeAutospacing="1" w:after="100" w:afterAutospacing="1"/>
        <w:rPr>
          <w:b/>
        </w:rPr>
      </w:pPr>
      <w:r>
        <w:rPr>
          <w:b/>
        </w:rPr>
        <w:t xml:space="preserve">Table S5. </w:t>
      </w:r>
      <w:proofErr w:type="gramStart"/>
      <w:r>
        <w:rPr>
          <w:b/>
        </w:rPr>
        <w:t>Sensitivity analysis of patient retention on ART.</w:t>
      </w:r>
      <w:proofErr w:type="gramEnd"/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516"/>
        <w:gridCol w:w="1372"/>
        <w:gridCol w:w="1710"/>
        <w:gridCol w:w="1800"/>
        <w:gridCol w:w="1800"/>
      </w:tblGrid>
      <w:tr w:rsidR="0014774B" w:rsidRPr="00A9572B" w:rsidTr="00306647">
        <w:trPr>
          <w:trHeight w:val="420"/>
        </w:trPr>
        <w:tc>
          <w:tcPr>
            <w:tcW w:w="2516" w:type="dxa"/>
          </w:tcPr>
          <w:p w:rsidR="0014774B" w:rsidRPr="00BC2D7B" w:rsidRDefault="0014774B" w:rsidP="00306647">
            <w:pPr>
              <w:rPr>
                <w:b/>
              </w:rPr>
            </w:pPr>
            <w:r w:rsidRPr="00BC2D7B">
              <w:rPr>
                <w:b/>
              </w:rPr>
              <w:t>Indicator</w:t>
            </w:r>
          </w:p>
        </w:tc>
        <w:tc>
          <w:tcPr>
            <w:tcW w:w="1372" w:type="dxa"/>
            <w:noWrap/>
            <w:hideMark/>
          </w:tcPr>
          <w:p w:rsidR="0014774B" w:rsidRPr="00BC2D7B" w:rsidRDefault="0014774B" w:rsidP="00306647">
            <w:pPr>
              <w:rPr>
                <w:b/>
              </w:rPr>
            </w:pPr>
            <w:r w:rsidRPr="00BC2D7B">
              <w:rPr>
                <w:b/>
              </w:rPr>
              <w:t>Base case</w:t>
            </w:r>
          </w:p>
        </w:tc>
        <w:tc>
          <w:tcPr>
            <w:tcW w:w="1710" w:type="dxa"/>
            <w:noWrap/>
            <w:hideMark/>
          </w:tcPr>
          <w:p w:rsidR="0014774B" w:rsidRPr="00BC2D7B" w:rsidRDefault="0014774B" w:rsidP="00306647">
            <w:pPr>
              <w:rPr>
                <w:b/>
              </w:rPr>
            </w:pPr>
            <w:r w:rsidRPr="00BC2D7B">
              <w:rPr>
                <w:b/>
              </w:rPr>
              <w:t>Alternative</w:t>
            </w:r>
          </w:p>
        </w:tc>
        <w:tc>
          <w:tcPr>
            <w:tcW w:w="1800" w:type="dxa"/>
            <w:noWrap/>
            <w:hideMark/>
          </w:tcPr>
          <w:p w:rsidR="0014774B" w:rsidRPr="00BC2D7B" w:rsidRDefault="0014774B" w:rsidP="00306647">
            <w:pPr>
              <w:rPr>
                <w:b/>
              </w:rPr>
            </w:pPr>
            <w:r w:rsidRPr="00BC2D7B">
              <w:rPr>
                <w:b/>
              </w:rPr>
              <w:t>Difference</w:t>
            </w:r>
          </w:p>
        </w:tc>
        <w:tc>
          <w:tcPr>
            <w:tcW w:w="1800" w:type="dxa"/>
            <w:noWrap/>
            <w:hideMark/>
          </w:tcPr>
          <w:p w:rsidR="0014774B" w:rsidRPr="00BC2D7B" w:rsidRDefault="0014774B" w:rsidP="00306647">
            <w:pPr>
              <w:rPr>
                <w:b/>
              </w:rPr>
            </w:pPr>
            <w:r w:rsidRPr="00BC2D7B">
              <w:rPr>
                <w:b/>
              </w:rPr>
              <w:t>Difference as a percent of base case</w:t>
            </w:r>
          </w:p>
        </w:tc>
      </w:tr>
      <w:tr w:rsidR="0014774B" w:rsidRPr="00A9572B" w:rsidTr="00306647">
        <w:trPr>
          <w:trHeight w:val="420"/>
        </w:trPr>
        <w:tc>
          <w:tcPr>
            <w:tcW w:w="2516" w:type="dxa"/>
          </w:tcPr>
          <w:p w:rsidR="0014774B" w:rsidRPr="00A9572B" w:rsidRDefault="0014774B" w:rsidP="00306647">
            <w:r w:rsidRPr="00A9572B">
              <w:t>Annual probability of remaining on ART after 1 year</w:t>
            </w:r>
          </w:p>
        </w:tc>
        <w:tc>
          <w:tcPr>
            <w:tcW w:w="1372" w:type="dxa"/>
            <w:noWrap/>
            <w:hideMark/>
          </w:tcPr>
          <w:p w:rsidR="0014774B" w:rsidRPr="00A9572B" w:rsidRDefault="0014774B" w:rsidP="00306647">
            <w:r w:rsidRPr="00A9572B">
              <w:t>96%</w:t>
            </w:r>
          </w:p>
        </w:tc>
        <w:tc>
          <w:tcPr>
            <w:tcW w:w="1710" w:type="dxa"/>
            <w:noWrap/>
            <w:hideMark/>
          </w:tcPr>
          <w:p w:rsidR="0014774B" w:rsidRPr="00A9572B" w:rsidRDefault="0014774B" w:rsidP="00306647">
            <w:r w:rsidRPr="00A9572B">
              <w:t>90%</w:t>
            </w:r>
          </w:p>
        </w:tc>
        <w:tc>
          <w:tcPr>
            <w:tcW w:w="1800" w:type="dxa"/>
            <w:noWrap/>
            <w:hideMark/>
          </w:tcPr>
          <w:p w:rsidR="0014774B" w:rsidRPr="00A9572B" w:rsidRDefault="0014774B" w:rsidP="00306647">
            <w:r w:rsidRPr="00A9572B">
              <w:t>6%</w:t>
            </w:r>
          </w:p>
        </w:tc>
        <w:tc>
          <w:tcPr>
            <w:tcW w:w="1800" w:type="dxa"/>
            <w:noWrap/>
            <w:hideMark/>
          </w:tcPr>
          <w:p w:rsidR="0014774B" w:rsidRPr="00A9572B" w:rsidRDefault="0014774B" w:rsidP="00306647"/>
        </w:tc>
      </w:tr>
      <w:tr w:rsidR="0014774B" w:rsidRPr="00A9572B" w:rsidTr="00306647">
        <w:trPr>
          <w:trHeight w:val="420"/>
        </w:trPr>
        <w:tc>
          <w:tcPr>
            <w:tcW w:w="2516" w:type="dxa"/>
          </w:tcPr>
          <w:p w:rsidR="0014774B" w:rsidRPr="00A9572B" w:rsidRDefault="0014774B" w:rsidP="00306647">
            <w:r w:rsidRPr="00A9572B">
              <w:t>Program Cost</w:t>
            </w:r>
          </w:p>
        </w:tc>
        <w:tc>
          <w:tcPr>
            <w:tcW w:w="1372" w:type="dxa"/>
            <w:noWrap/>
            <w:hideMark/>
          </w:tcPr>
          <w:p w:rsidR="0014774B" w:rsidRPr="006871FA" w:rsidRDefault="0014774B" w:rsidP="00306647">
            <w:r w:rsidRPr="00A9572B">
              <w:t>$14.2 B</w:t>
            </w:r>
          </w:p>
        </w:tc>
        <w:tc>
          <w:tcPr>
            <w:tcW w:w="1710" w:type="dxa"/>
            <w:noWrap/>
            <w:hideMark/>
          </w:tcPr>
          <w:p w:rsidR="0014774B" w:rsidRPr="006871FA" w:rsidRDefault="0014774B" w:rsidP="00306647">
            <w:r w:rsidRPr="00A9572B">
              <w:t>$ 11.2B</w:t>
            </w:r>
          </w:p>
        </w:tc>
        <w:tc>
          <w:tcPr>
            <w:tcW w:w="1800" w:type="dxa"/>
            <w:noWrap/>
            <w:hideMark/>
          </w:tcPr>
          <w:p w:rsidR="0014774B" w:rsidRPr="006871FA" w:rsidRDefault="0014774B" w:rsidP="00306647">
            <w:r w:rsidRPr="00A9572B">
              <w:t>$ 3.0B</w:t>
            </w:r>
          </w:p>
        </w:tc>
        <w:tc>
          <w:tcPr>
            <w:tcW w:w="1800" w:type="dxa"/>
            <w:noWrap/>
            <w:hideMark/>
          </w:tcPr>
          <w:p w:rsidR="0014774B" w:rsidRPr="006871FA" w:rsidRDefault="0014774B" w:rsidP="00306647">
            <w:r w:rsidRPr="006871FA">
              <w:t>21%</w:t>
            </w:r>
          </w:p>
        </w:tc>
      </w:tr>
      <w:tr w:rsidR="0014774B" w:rsidRPr="00A9572B" w:rsidTr="00306647">
        <w:trPr>
          <w:trHeight w:val="420"/>
        </w:trPr>
        <w:tc>
          <w:tcPr>
            <w:tcW w:w="2516" w:type="dxa"/>
          </w:tcPr>
          <w:p w:rsidR="0014774B" w:rsidRPr="00A9572B" w:rsidRDefault="0014774B" w:rsidP="00306647">
            <w:r w:rsidRPr="00A9572B">
              <w:t>Gross Benefits</w:t>
            </w:r>
          </w:p>
        </w:tc>
        <w:tc>
          <w:tcPr>
            <w:tcW w:w="1372" w:type="dxa"/>
            <w:noWrap/>
            <w:hideMark/>
          </w:tcPr>
          <w:p w:rsidR="0014774B" w:rsidRPr="006871FA" w:rsidRDefault="0014774B" w:rsidP="00306647">
            <w:r w:rsidRPr="00A9572B">
              <w:t>$34.0B</w:t>
            </w:r>
          </w:p>
        </w:tc>
        <w:tc>
          <w:tcPr>
            <w:tcW w:w="1710" w:type="dxa"/>
            <w:noWrap/>
            <w:hideMark/>
          </w:tcPr>
          <w:p w:rsidR="0014774B" w:rsidRPr="006871FA" w:rsidRDefault="0014774B" w:rsidP="00306647">
            <w:r w:rsidRPr="00A9572B">
              <w:t>$ 25.3B</w:t>
            </w:r>
          </w:p>
        </w:tc>
        <w:tc>
          <w:tcPr>
            <w:tcW w:w="1800" w:type="dxa"/>
            <w:noWrap/>
            <w:hideMark/>
          </w:tcPr>
          <w:p w:rsidR="0014774B" w:rsidRPr="006871FA" w:rsidRDefault="0014774B" w:rsidP="00306647">
            <w:r w:rsidRPr="006871FA">
              <w:t>$ 8</w:t>
            </w:r>
            <w:r w:rsidRPr="00A9572B">
              <w:t>.7B</w:t>
            </w:r>
          </w:p>
        </w:tc>
        <w:tc>
          <w:tcPr>
            <w:tcW w:w="1800" w:type="dxa"/>
            <w:noWrap/>
            <w:hideMark/>
          </w:tcPr>
          <w:p w:rsidR="0014774B" w:rsidRPr="006871FA" w:rsidRDefault="0014774B" w:rsidP="00306647">
            <w:r w:rsidRPr="006871FA">
              <w:t>26%</w:t>
            </w:r>
          </w:p>
        </w:tc>
      </w:tr>
      <w:tr w:rsidR="0014774B" w:rsidRPr="00A9572B" w:rsidTr="00306647">
        <w:trPr>
          <w:trHeight w:val="420"/>
        </w:trPr>
        <w:tc>
          <w:tcPr>
            <w:tcW w:w="2516" w:type="dxa"/>
          </w:tcPr>
          <w:p w:rsidR="0014774B" w:rsidRPr="00A9572B" w:rsidRDefault="0014774B" w:rsidP="00306647">
            <w:r w:rsidRPr="00A9572B">
              <w:t>Net Benefit</w:t>
            </w:r>
          </w:p>
        </w:tc>
        <w:tc>
          <w:tcPr>
            <w:tcW w:w="1372" w:type="dxa"/>
            <w:noWrap/>
            <w:hideMark/>
          </w:tcPr>
          <w:p w:rsidR="0014774B" w:rsidRPr="006871FA" w:rsidRDefault="0014774B" w:rsidP="00306647">
            <w:r w:rsidRPr="00A9572B">
              <w:t>$19.8B</w:t>
            </w:r>
          </w:p>
        </w:tc>
        <w:tc>
          <w:tcPr>
            <w:tcW w:w="1710" w:type="dxa"/>
            <w:noWrap/>
            <w:hideMark/>
          </w:tcPr>
          <w:p w:rsidR="0014774B" w:rsidRPr="006871FA" w:rsidRDefault="0014774B" w:rsidP="00306647">
            <w:r w:rsidRPr="006871FA">
              <w:t>$ 14</w:t>
            </w:r>
            <w:r w:rsidRPr="00A9572B">
              <w:t>.1B</w:t>
            </w:r>
          </w:p>
        </w:tc>
        <w:tc>
          <w:tcPr>
            <w:tcW w:w="1800" w:type="dxa"/>
            <w:noWrap/>
            <w:hideMark/>
          </w:tcPr>
          <w:p w:rsidR="0014774B" w:rsidRPr="006871FA" w:rsidRDefault="0014774B" w:rsidP="00306647">
            <w:r w:rsidRPr="006871FA">
              <w:t>$ 5</w:t>
            </w:r>
            <w:r w:rsidRPr="00A9572B">
              <w:t>.7B</w:t>
            </w:r>
          </w:p>
        </w:tc>
        <w:tc>
          <w:tcPr>
            <w:tcW w:w="1800" w:type="dxa"/>
            <w:noWrap/>
            <w:hideMark/>
          </w:tcPr>
          <w:p w:rsidR="0014774B" w:rsidRPr="006871FA" w:rsidRDefault="0014774B" w:rsidP="00306647">
            <w:r w:rsidRPr="006871FA">
              <w:t>29%</w:t>
            </w:r>
          </w:p>
        </w:tc>
      </w:tr>
      <w:tr w:rsidR="0014774B" w:rsidRPr="00A9572B" w:rsidTr="00306647">
        <w:trPr>
          <w:trHeight w:val="420"/>
        </w:trPr>
        <w:tc>
          <w:tcPr>
            <w:tcW w:w="2516" w:type="dxa"/>
          </w:tcPr>
          <w:p w:rsidR="0014774B" w:rsidRPr="00A9572B" w:rsidRDefault="0014774B" w:rsidP="00306647">
            <w:r w:rsidRPr="00A9572B">
              <w:t>Benefit/Cost Ratio</w:t>
            </w:r>
          </w:p>
        </w:tc>
        <w:tc>
          <w:tcPr>
            <w:tcW w:w="1372" w:type="dxa"/>
            <w:noWrap/>
            <w:hideMark/>
          </w:tcPr>
          <w:p w:rsidR="0014774B" w:rsidRPr="006871FA" w:rsidRDefault="0014774B" w:rsidP="00306647">
            <w:r w:rsidRPr="006871FA">
              <w:t>240%</w:t>
            </w:r>
          </w:p>
        </w:tc>
        <w:tc>
          <w:tcPr>
            <w:tcW w:w="1710" w:type="dxa"/>
            <w:noWrap/>
            <w:hideMark/>
          </w:tcPr>
          <w:p w:rsidR="0014774B" w:rsidRPr="006871FA" w:rsidRDefault="0014774B" w:rsidP="00306647">
            <w:r w:rsidRPr="006871FA">
              <w:t>226%</w:t>
            </w:r>
          </w:p>
        </w:tc>
        <w:tc>
          <w:tcPr>
            <w:tcW w:w="1800" w:type="dxa"/>
            <w:noWrap/>
            <w:hideMark/>
          </w:tcPr>
          <w:p w:rsidR="0014774B" w:rsidRPr="006871FA" w:rsidRDefault="0014774B" w:rsidP="00306647"/>
        </w:tc>
        <w:tc>
          <w:tcPr>
            <w:tcW w:w="1800" w:type="dxa"/>
            <w:noWrap/>
            <w:hideMark/>
          </w:tcPr>
          <w:p w:rsidR="0014774B" w:rsidRPr="006871FA" w:rsidRDefault="0014774B" w:rsidP="00306647"/>
        </w:tc>
      </w:tr>
    </w:tbl>
    <w:p w:rsidR="0014774B" w:rsidRDefault="0014774B" w:rsidP="0014774B">
      <w:pPr>
        <w:keepNext/>
        <w:spacing w:before="100" w:beforeAutospacing="1" w:after="100" w:afterAutospacing="1"/>
        <w:rPr>
          <w:b/>
        </w:rPr>
      </w:pPr>
    </w:p>
    <w:p w:rsidR="00322031" w:rsidRPr="0014774B" w:rsidRDefault="00322031" w:rsidP="0014774B">
      <w:bookmarkStart w:id="0" w:name="_GoBack"/>
      <w:bookmarkEnd w:id="0"/>
    </w:p>
    <w:sectPr w:rsidR="00322031" w:rsidRPr="0014774B" w:rsidSect="005007ED">
      <w:pgSz w:w="12240" w:h="15840" w:code="1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4C"/>
    <w:rsid w:val="0014774B"/>
    <w:rsid w:val="00322031"/>
    <w:rsid w:val="003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CHDS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Resch</dc:creator>
  <cp:lastModifiedBy>Stephen Resch</cp:lastModifiedBy>
  <cp:revision>2</cp:revision>
  <dcterms:created xsi:type="dcterms:W3CDTF">2011-09-15T13:36:00Z</dcterms:created>
  <dcterms:modified xsi:type="dcterms:W3CDTF">2011-09-15T13:36:00Z</dcterms:modified>
</cp:coreProperties>
</file>