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801"/>
        <w:tblW w:w="9195" w:type="dxa"/>
        <w:tblLook w:val="04A0" w:firstRow="1" w:lastRow="0" w:firstColumn="1" w:lastColumn="0" w:noHBand="0" w:noVBand="1"/>
      </w:tblPr>
      <w:tblGrid>
        <w:gridCol w:w="3065"/>
        <w:gridCol w:w="3065"/>
        <w:gridCol w:w="3065"/>
      </w:tblGrid>
      <w:tr w:rsidR="00451CFB" w14:paraId="552D292F" w14:textId="77777777" w:rsidTr="00451CFB">
        <w:trPr>
          <w:trHeight w:val="416"/>
        </w:trPr>
        <w:tc>
          <w:tcPr>
            <w:tcW w:w="3065" w:type="dxa"/>
          </w:tcPr>
          <w:p w14:paraId="46A9F275" w14:textId="77777777" w:rsidR="00451CFB" w:rsidRPr="00451CFB" w:rsidRDefault="00451CFB" w:rsidP="00451CFB">
            <w:pPr>
              <w:jc w:val="center"/>
              <w:rPr>
                <w:b/>
              </w:rPr>
            </w:pPr>
            <w:r w:rsidRPr="00451CFB">
              <w:rPr>
                <w:b/>
              </w:rPr>
              <w:t>CASE</w:t>
            </w:r>
          </w:p>
        </w:tc>
        <w:tc>
          <w:tcPr>
            <w:tcW w:w="3065" w:type="dxa"/>
          </w:tcPr>
          <w:p w14:paraId="00C74767" w14:textId="77777777" w:rsidR="00451CFB" w:rsidRPr="00451CFB" w:rsidRDefault="00451CFB" w:rsidP="00451CFB">
            <w:pPr>
              <w:jc w:val="center"/>
              <w:rPr>
                <w:b/>
              </w:rPr>
            </w:pPr>
            <w:r w:rsidRPr="00451CFB">
              <w:rPr>
                <w:b/>
              </w:rPr>
              <w:t>LINEAR R</w:t>
            </w:r>
            <w:r w:rsidRPr="00451CFB">
              <w:rPr>
                <w:b/>
                <w:vertAlign w:val="superscript"/>
              </w:rPr>
              <w:t>2</w:t>
            </w:r>
            <w:r w:rsidRPr="00451CFB">
              <w:rPr>
                <w:b/>
              </w:rPr>
              <w:t xml:space="preserve"> VALUE</w:t>
            </w:r>
          </w:p>
        </w:tc>
        <w:tc>
          <w:tcPr>
            <w:tcW w:w="3065" w:type="dxa"/>
          </w:tcPr>
          <w:p w14:paraId="780AE62C" w14:textId="77777777" w:rsidR="00451CFB" w:rsidRPr="00451CFB" w:rsidRDefault="00451CFB" w:rsidP="00451CFB">
            <w:pPr>
              <w:jc w:val="center"/>
              <w:rPr>
                <w:b/>
              </w:rPr>
            </w:pPr>
            <w:r w:rsidRPr="00451CFB">
              <w:rPr>
                <w:b/>
              </w:rPr>
              <w:t>QUADRATIC R</w:t>
            </w:r>
            <w:r w:rsidRPr="00451CFB">
              <w:rPr>
                <w:b/>
                <w:vertAlign w:val="superscript"/>
              </w:rPr>
              <w:t>2</w:t>
            </w:r>
            <w:r w:rsidRPr="00451CFB">
              <w:rPr>
                <w:b/>
              </w:rPr>
              <w:t xml:space="preserve"> VALUE</w:t>
            </w:r>
          </w:p>
        </w:tc>
      </w:tr>
      <w:tr w:rsidR="00451CFB" w14:paraId="3AE40213" w14:textId="77777777" w:rsidTr="00451CFB">
        <w:trPr>
          <w:trHeight w:val="388"/>
        </w:trPr>
        <w:tc>
          <w:tcPr>
            <w:tcW w:w="3065" w:type="dxa"/>
          </w:tcPr>
          <w:p w14:paraId="4091D78D" w14:textId="7F5641D1" w:rsidR="00451CFB" w:rsidRDefault="00451CFB" w:rsidP="00451CFB">
            <w:pPr>
              <w:jc w:val="center"/>
            </w:pPr>
            <w:r>
              <w:t>1</w:t>
            </w:r>
            <w:r w:rsidR="004D6268">
              <w:t xml:space="preserve"> (Y)</w:t>
            </w:r>
          </w:p>
        </w:tc>
        <w:tc>
          <w:tcPr>
            <w:tcW w:w="3065" w:type="dxa"/>
          </w:tcPr>
          <w:p w14:paraId="36071025" w14:textId="77777777" w:rsidR="00451CFB" w:rsidRDefault="00451CFB" w:rsidP="00451CFB">
            <w:pPr>
              <w:jc w:val="center"/>
            </w:pPr>
            <w:r>
              <w:t>0.9755</w:t>
            </w:r>
          </w:p>
        </w:tc>
        <w:tc>
          <w:tcPr>
            <w:tcW w:w="3065" w:type="dxa"/>
          </w:tcPr>
          <w:p w14:paraId="48031FB3" w14:textId="77777777" w:rsidR="00451CFB" w:rsidRDefault="00451CFB" w:rsidP="00451CFB">
            <w:pPr>
              <w:jc w:val="center"/>
            </w:pPr>
            <w:r>
              <w:t>0.96538</w:t>
            </w:r>
          </w:p>
        </w:tc>
      </w:tr>
      <w:tr w:rsidR="00451CFB" w14:paraId="6F59E39A" w14:textId="77777777" w:rsidTr="00451CFB">
        <w:trPr>
          <w:trHeight w:val="416"/>
        </w:trPr>
        <w:tc>
          <w:tcPr>
            <w:tcW w:w="3065" w:type="dxa"/>
          </w:tcPr>
          <w:p w14:paraId="583069E5" w14:textId="42679E00" w:rsidR="00451CFB" w:rsidRDefault="00451CFB" w:rsidP="00451CFB">
            <w:pPr>
              <w:jc w:val="center"/>
            </w:pPr>
            <w:r>
              <w:t>2</w:t>
            </w:r>
            <w:r w:rsidR="004D6268">
              <w:t xml:space="preserve"> (Y)</w:t>
            </w:r>
          </w:p>
        </w:tc>
        <w:tc>
          <w:tcPr>
            <w:tcW w:w="3065" w:type="dxa"/>
          </w:tcPr>
          <w:p w14:paraId="545B4B9C" w14:textId="77777777" w:rsidR="00451CFB" w:rsidRDefault="00451CFB" w:rsidP="00451CFB">
            <w:pPr>
              <w:jc w:val="center"/>
            </w:pPr>
            <w:r>
              <w:t>0.86241</w:t>
            </w:r>
          </w:p>
        </w:tc>
        <w:tc>
          <w:tcPr>
            <w:tcW w:w="3065" w:type="dxa"/>
          </w:tcPr>
          <w:p w14:paraId="4D707C35" w14:textId="77777777" w:rsidR="00451CFB" w:rsidRDefault="00451CFB" w:rsidP="00451CFB">
            <w:pPr>
              <w:jc w:val="center"/>
            </w:pPr>
            <w:r>
              <w:t>0.99154</w:t>
            </w:r>
          </w:p>
        </w:tc>
      </w:tr>
      <w:tr w:rsidR="00451CFB" w14:paraId="1E6A79CF" w14:textId="77777777" w:rsidTr="00451CFB">
        <w:trPr>
          <w:trHeight w:val="388"/>
        </w:trPr>
        <w:tc>
          <w:tcPr>
            <w:tcW w:w="3065" w:type="dxa"/>
          </w:tcPr>
          <w:p w14:paraId="667D8FCB" w14:textId="1C2550B3" w:rsidR="00451CFB" w:rsidRDefault="00451CFB" w:rsidP="00451CFB">
            <w:pPr>
              <w:jc w:val="center"/>
            </w:pPr>
            <w:r>
              <w:t>3</w:t>
            </w:r>
            <w:r w:rsidR="004D6268">
              <w:t xml:space="preserve"> (Y)</w:t>
            </w:r>
          </w:p>
        </w:tc>
        <w:tc>
          <w:tcPr>
            <w:tcW w:w="3065" w:type="dxa"/>
          </w:tcPr>
          <w:p w14:paraId="7A023A88" w14:textId="77777777" w:rsidR="00451CFB" w:rsidRDefault="00451CFB" w:rsidP="00451CFB">
            <w:pPr>
              <w:jc w:val="center"/>
            </w:pPr>
            <w:r>
              <w:t>0.82989</w:t>
            </w:r>
          </w:p>
        </w:tc>
        <w:tc>
          <w:tcPr>
            <w:tcW w:w="3065" w:type="dxa"/>
          </w:tcPr>
          <w:p w14:paraId="428C60CD" w14:textId="13490A2C" w:rsidR="00451CFB" w:rsidRDefault="003972D9" w:rsidP="00451CFB">
            <w:pPr>
              <w:jc w:val="center"/>
            </w:pPr>
            <w:r>
              <w:t>0.90787*</w:t>
            </w:r>
          </w:p>
        </w:tc>
      </w:tr>
      <w:tr w:rsidR="00451CFB" w14:paraId="5210D2C8" w14:textId="77777777" w:rsidTr="00451CFB">
        <w:trPr>
          <w:trHeight w:val="416"/>
        </w:trPr>
        <w:tc>
          <w:tcPr>
            <w:tcW w:w="3065" w:type="dxa"/>
          </w:tcPr>
          <w:p w14:paraId="75CFABCC" w14:textId="5E95AFAD" w:rsidR="00451CFB" w:rsidRDefault="00451CFB" w:rsidP="00451CFB">
            <w:pPr>
              <w:jc w:val="center"/>
            </w:pPr>
            <w:r>
              <w:t>4</w:t>
            </w:r>
            <w:r w:rsidR="004D6268">
              <w:t xml:space="preserve"> (Y)</w:t>
            </w:r>
          </w:p>
        </w:tc>
        <w:tc>
          <w:tcPr>
            <w:tcW w:w="3065" w:type="dxa"/>
          </w:tcPr>
          <w:p w14:paraId="3AFEBAC1" w14:textId="77777777" w:rsidR="00451CFB" w:rsidRDefault="00451CFB" w:rsidP="00451CFB">
            <w:pPr>
              <w:jc w:val="center"/>
            </w:pPr>
            <w:r>
              <w:t>0.94231</w:t>
            </w:r>
          </w:p>
        </w:tc>
        <w:tc>
          <w:tcPr>
            <w:tcW w:w="3065" w:type="dxa"/>
          </w:tcPr>
          <w:p w14:paraId="594F4B83" w14:textId="77777777" w:rsidR="00451CFB" w:rsidRDefault="00451CFB" w:rsidP="00451CFB">
            <w:pPr>
              <w:jc w:val="center"/>
            </w:pPr>
            <w:r>
              <w:t>0.96516</w:t>
            </w:r>
          </w:p>
        </w:tc>
      </w:tr>
      <w:tr w:rsidR="00451CFB" w14:paraId="19F02F6E" w14:textId="77777777" w:rsidTr="00451CFB">
        <w:trPr>
          <w:trHeight w:val="388"/>
        </w:trPr>
        <w:tc>
          <w:tcPr>
            <w:tcW w:w="3065" w:type="dxa"/>
          </w:tcPr>
          <w:p w14:paraId="6A731599" w14:textId="2F817915" w:rsidR="00451CFB" w:rsidRDefault="00451CFB" w:rsidP="00451CFB">
            <w:pPr>
              <w:jc w:val="center"/>
            </w:pPr>
            <w:r>
              <w:t>5</w:t>
            </w:r>
            <w:r w:rsidR="004D6268">
              <w:t xml:space="preserve"> (Y)</w:t>
            </w:r>
          </w:p>
        </w:tc>
        <w:tc>
          <w:tcPr>
            <w:tcW w:w="3065" w:type="dxa"/>
          </w:tcPr>
          <w:p w14:paraId="5C1091B5" w14:textId="77777777" w:rsidR="00451CFB" w:rsidRDefault="00451CFB" w:rsidP="00451CFB">
            <w:pPr>
              <w:jc w:val="center"/>
            </w:pPr>
            <w:r>
              <w:t>0.95208</w:t>
            </w:r>
          </w:p>
        </w:tc>
        <w:tc>
          <w:tcPr>
            <w:tcW w:w="3065" w:type="dxa"/>
          </w:tcPr>
          <w:p w14:paraId="02B2A1A7" w14:textId="77777777" w:rsidR="00451CFB" w:rsidRDefault="00451CFB" w:rsidP="00451CFB">
            <w:pPr>
              <w:jc w:val="center"/>
            </w:pPr>
            <w:r>
              <w:t>0.89613</w:t>
            </w:r>
          </w:p>
        </w:tc>
      </w:tr>
      <w:tr w:rsidR="00451CFB" w14:paraId="767B8C54" w14:textId="77777777" w:rsidTr="00451CFB">
        <w:trPr>
          <w:trHeight w:val="416"/>
        </w:trPr>
        <w:tc>
          <w:tcPr>
            <w:tcW w:w="3065" w:type="dxa"/>
          </w:tcPr>
          <w:p w14:paraId="2E584570" w14:textId="150EF06D" w:rsidR="00451CFB" w:rsidRDefault="00451CFB" w:rsidP="00451CFB">
            <w:pPr>
              <w:jc w:val="center"/>
            </w:pPr>
            <w:r>
              <w:t>6</w:t>
            </w:r>
            <w:r w:rsidR="004D6268">
              <w:t xml:space="preserve"> (Y)</w:t>
            </w:r>
          </w:p>
        </w:tc>
        <w:tc>
          <w:tcPr>
            <w:tcW w:w="3065" w:type="dxa"/>
          </w:tcPr>
          <w:p w14:paraId="0B6CA631" w14:textId="77777777" w:rsidR="00451CFB" w:rsidRDefault="00451CFB" w:rsidP="00451CFB">
            <w:pPr>
              <w:jc w:val="center"/>
            </w:pPr>
            <w:r>
              <w:t>0.98098</w:t>
            </w:r>
          </w:p>
        </w:tc>
        <w:tc>
          <w:tcPr>
            <w:tcW w:w="3065" w:type="dxa"/>
          </w:tcPr>
          <w:p w14:paraId="62306ABC" w14:textId="77777777" w:rsidR="00451CFB" w:rsidRDefault="00451CFB" w:rsidP="00451CFB">
            <w:pPr>
              <w:jc w:val="center"/>
            </w:pPr>
            <w:r>
              <w:t>0.97254</w:t>
            </w:r>
          </w:p>
        </w:tc>
      </w:tr>
      <w:tr w:rsidR="00451CFB" w14:paraId="3C9358AA" w14:textId="77777777" w:rsidTr="00451CFB">
        <w:trPr>
          <w:trHeight w:val="416"/>
        </w:trPr>
        <w:tc>
          <w:tcPr>
            <w:tcW w:w="3065" w:type="dxa"/>
          </w:tcPr>
          <w:p w14:paraId="7CC37124" w14:textId="792A383F" w:rsidR="00451CFB" w:rsidRDefault="00451CFB" w:rsidP="00451CFB">
            <w:pPr>
              <w:jc w:val="center"/>
            </w:pPr>
            <w:r>
              <w:t>7</w:t>
            </w:r>
            <w:r w:rsidR="004D6268">
              <w:t xml:space="preserve"> (Y)</w:t>
            </w:r>
          </w:p>
        </w:tc>
        <w:tc>
          <w:tcPr>
            <w:tcW w:w="3065" w:type="dxa"/>
          </w:tcPr>
          <w:p w14:paraId="70D87161" w14:textId="77777777" w:rsidR="00451CFB" w:rsidRDefault="00451CFB" w:rsidP="00451CFB">
            <w:pPr>
              <w:jc w:val="center"/>
            </w:pPr>
            <w:r>
              <w:t>0.96571</w:t>
            </w:r>
          </w:p>
        </w:tc>
        <w:tc>
          <w:tcPr>
            <w:tcW w:w="3065" w:type="dxa"/>
          </w:tcPr>
          <w:p w14:paraId="3A828775" w14:textId="77777777" w:rsidR="00451CFB" w:rsidRDefault="00451CFB" w:rsidP="00451CFB">
            <w:pPr>
              <w:jc w:val="center"/>
            </w:pPr>
            <w:r>
              <w:t>0.95775</w:t>
            </w:r>
          </w:p>
        </w:tc>
      </w:tr>
      <w:tr w:rsidR="00451CFB" w14:paraId="5749A991" w14:textId="77777777" w:rsidTr="00451CFB">
        <w:trPr>
          <w:trHeight w:val="388"/>
        </w:trPr>
        <w:tc>
          <w:tcPr>
            <w:tcW w:w="3065" w:type="dxa"/>
          </w:tcPr>
          <w:p w14:paraId="7BBD3E55" w14:textId="77777777" w:rsidR="00451CFB" w:rsidRDefault="00451CFB" w:rsidP="00451CFB">
            <w:pPr>
              <w:jc w:val="center"/>
            </w:pPr>
            <w:r>
              <w:t>NEW 2010 CASE</w:t>
            </w:r>
          </w:p>
        </w:tc>
        <w:tc>
          <w:tcPr>
            <w:tcW w:w="3065" w:type="dxa"/>
          </w:tcPr>
          <w:p w14:paraId="260D3525" w14:textId="77777777" w:rsidR="00451CFB" w:rsidRDefault="00451CFB" w:rsidP="00451CFB">
            <w:pPr>
              <w:jc w:val="center"/>
            </w:pPr>
            <w:r>
              <w:t>0.8325</w:t>
            </w:r>
          </w:p>
        </w:tc>
        <w:tc>
          <w:tcPr>
            <w:tcW w:w="3065" w:type="dxa"/>
          </w:tcPr>
          <w:p w14:paraId="63BCA66E" w14:textId="77777777" w:rsidR="00451CFB" w:rsidRDefault="00451CFB" w:rsidP="00451CFB">
            <w:pPr>
              <w:jc w:val="center"/>
            </w:pPr>
            <w:r>
              <w:t>0.98526</w:t>
            </w:r>
          </w:p>
        </w:tc>
      </w:tr>
      <w:tr w:rsidR="00451CFB" w14:paraId="1ADB4B7A" w14:textId="77777777" w:rsidTr="00451CFB">
        <w:trPr>
          <w:trHeight w:val="416"/>
        </w:trPr>
        <w:tc>
          <w:tcPr>
            <w:tcW w:w="3065" w:type="dxa"/>
          </w:tcPr>
          <w:p w14:paraId="3FFB1730" w14:textId="77777777" w:rsidR="00451CFB" w:rsidRDefault="00451CFB" w:rsidP="00451CFB">
            <w:pPr>
              <w:jc w:val="center"/>
            </w:pPr>
            <w:r>
              <w:t>NEW 2011 CASE</w:t>
            </w:r>
          </w:p>
        </w:tc>
        <w:tc>
          <w:tcPr>
            <w:tcW w:w="3065" w:type="dxa"/>
          </w:tcPr>
          <w:p w14:paraId="1EB55B6A" w14:textId="77777777" w:rsidR="00451CFB" w:rsidRDefault="00451CFB" w:rsidP="00451CFB">
            <w:pPr>
              <w:jc w:val="center"/>
            </w:pPr>
            <w:r>
              <w:t>0.98201</w:t>
            </w:r>
          </w:p>
        </w:tc>
        <w:tc>
          <w:tcPr>
            <w:tcW w:w="3065" w:type="dxa"/>
          </w:tcPr>
          <w:p w14:paraId="2E80B638" w14:textId="77777777" w:rsidR="00451CFB" w:rsidRDefault="00451CFB" w:rsidP="00451CFB">
            <w:pPr>
              <w:jc w:val="center"/>
            </w:pPr>
            <w:r>
              <w:t>0.8654</w:t>
            </w:r>
          </w:p>
        </w:tc>
      </w:tr>
    </w:tbl>
    <w:p w14:paraId="69EB4595" w14:textId="77777777" w:rsidR="004E7E3F" w:rsidRPr="004D6268" w:rsidRDefault="00451CFB">
      <w:pPr>
        <w:rPr>
          <w:b/>
        </w:rPr>
      </w:pPr>
      <w:r w:rsidRPr="004D6268">
        <w:rPr>
          <w:b/>
        </w:rPr>
        <w:t>Supplementary Table 2</w:t>
      </w:r>
    </w:p>
    <w:p w14:paraId="39A45CF6" w14:textId="161387F8" w:rsidR="00650B6F" w:rsidRPr="00650B6F" w:rsidRDefault="00650B6F" w:rsidP="00650B6F"/>
    <w:p w14:paraId="38C78EE5" w14:textId="5184397F" w:rsidR="00650B6F" w:rsidRDefault="00650B6F" w:rsidP="00650B6F">
      <w:r w:rsidRPr="00650B6F">
        <w:rPr>
          <w:b/>
        </w:rPr>
        <w:t xml:space="preserve">Supplementary Table 2: </w:t>
      </w:r>
      <w:r>
        <w:t xml:space="preserve"> Average linear and quadratic R</w:t>
      </w:r>
      <w:r w:rsidRPr="00650B6F">
        <w:rPr>
          <w:vertAlign w:val="superscript"/>
        </w:rPr>
        <w:t>2</w:t>
      </w:r>
      <w:r>
        <w:t xml:space="preserve"> values for disease severity curves associated </w:t>
      </w:r>
      <w:proofErr w:type="gramStart"/>
      <w:r>
        <w:t>with  cases</w:t>
      </w:r>
      <w:proofErr w:type="gramEnd"/>
      <w:r>
        <w:t xml:space="preserve"> 1-7 (numbered as described in Figure 3B). The suffix (Y) indicates that they were obtained from medical records reported </w:t>
      </w:r>
      <w:proofErr w:type="gramStart"/>
      <w:r>
        <w:t xml:space="preserve">in  </w:t>
      </w:r>
      <w:proofErr w:type="spellStart"/>
      <w:r>
        <w:t>Yanjanin</w:t>
      </w:r>
      <w:proofErr w:type="spellEnd"/>
      <w:proofErr w:type="gramEnd"/>
      <w:r>
        <w:t xml:space="preserve"> et al  (2010).  New cases donated directly to our study in 2010 and 2011</w:t>
      </w:r>
      <w:proofErr w:type="gramStart"/>
      <w:r>
        <w:t>,   not</w:t>
      </w:r>
      <w:proofErr w:type="gramEnd"/>
      <w:r>
        <w:t xml:space="preserve"> previously reported by </w:t>
      </w:r>
      <w:proofErr w:type="spellStart"/>
      <w:r>
        <w:t>Yanjanin</w:t>
      </w:r>
      <w:proofErr w:type="spellEnd"/>
      <w:r>
        <w:t xml:space="preserve"> et al (2010) and assessed in Figure 4, are also indicated.</w:t>
      </w:r>
      <w:r>
        <w:t xml:space="preserve"> *Log fit is best fit.</w:t>
      </w:r>
    </w:p>
    <w:p w14:paraId="5C70FEFF" w14:textId="77777777" w:rsidR="00650B6F" w:rsidRDefault="00650B6F" w:rsidP="00650B6F"/>
    <w:p w14:paraId="7417FD91" w14:textId="77777777" w:rsidR="003972D9" w:rsidRDefault="003972D9">
      <w:bookmarkStart w:id="0" w:name="_GoBack"/>
      <w:bookmarkEnd w:id="0"/>
    </w:p>
    <w:p w14:paraId="0EC5DECA" w14:textId="77777777" w:rsidR="00CF42ED" w:rsidRDefault="00CF42ED"/>
    <w:p w14:paraId="58009F5F" w14:textId="77777777" w:rsidR="00CF42ED" w:rsidRDefault="00CF42ED"/>
    <w:p w14:paraId="2AEEF2B7" w14:textId="77777777" w:rsidR="00CF42ED" w:rsidRDefault="00CF42ED"/>
    <w:p w14:paraId="2BE2278E" w14:textId="77777777" w:rsidR="00CF42ED" w:rsidRDefault="00CF42ED"/>
    <w:p w14:paraId="1E143A98" w14:textId="77777777" w:rsidR="00CF42ED" w:rsidRDefault="00CF42ED"/>
    <w:p w14:paraId="0918A20D" w14:textId="77777777" w:rsidR="00CF42ED" w:rsidRDefault="00CF42ED"/>
    <w:p w14:paraId="110D957B" w14:textId="77777777" w:rsidR="00CF42ED" w:rsidRDefault="00CF42ED"/>
    <w:p w14:paraId="512C5178" w14:textId="77777777" w:rsidR="00CF42ED" w:rsidRDefault="00CF42ED"/>
    <w:p w14:paraId="2C3E54DE" w14:textId="77777777" w:rsidR="00CF42ED" w:rsidRDefault="00CF42ED"/>
    <w:p w14:paraId="6E4A8E2E" w14:textId="77777777" w:rsidR="00CF42ED" w:rsidRDefault="00CF42ED"/>
    <w:p w14:paraId="3D3D6A21" w14:textId="77777777" w:rsidR="00CF42ED" w:rsidRDefault="00CF42ED"/>
    <w:p w14:paraId="781D51B8" w14:textId="77777777" w:rsidR="00CF42ED" w:rsidRDefault="00CF42ED"/>
    <w:p w14:paraId="17D508F7" w14:textId="77777777" w:rsidR="00CF42ED" w:rsidRDefault="00CF42ED"/>
    <w:p w14:paraId="62C5AECA" w14:textId="77777777" w:rsidR="00CF42ED" w:rsidRDefault="00CF42ED"/>
    <w:p w14:paraId="54CF6B06" w14:textId="77777777" w:rsidR="00CF42ED" w:rsidRDefault="00CF42ED"/>
    <w:p w14:paraId="3449B7BF" w14:textId="77777777" w:rsidR="00CF42ED" w:rsidRDefault="00CF42ED"/>
    <w:p w14:paraId="0B1AE9D0" w14:textId="77777777" w:rsidR="00CF42ED" w:rsidRDefault="00CF42ED"/>
    <w:p w14:paraId="228898B8" w14:textId="77777777" w:rsidR="00CF42ED" w:rsidRDefault="00CF42ED"/>
    <w:p w14:paraId="6D57A19C" w14:textId="77777777" w:rsidR="00CF42ED" w:rsidRDefault="00CF42ED"/>
    <w:sectPr w:rsidR="00CF42ED" w:rsidSect="004E7E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548"/>
    <w:multiLevelType w:val="hybridMultilevel"/>
    <w:tmpl w:val="FEA8009A"/>
    <w:lvl w:ilvl="0" w:tplc="37726B3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FB"/>
    <w:rsid w:val="003972D9"/>
    <w:rsid w:val="00451CFB"/>
    <w:rsid w:val="004D6268"/>
    <w:rsid w:val="004E7E3F"/>
    <w:rsid w:val="00647B78"/>
    <w:rsid w:val="00650B6F"/>
    <w:rsid w:val="007611A4"/>
    <w:rsid w:val="00862F9E"/>
    <w:rsid w:val="00896EA5"/>
    <w:rsid w:val="00B27D57"/>
    <w:rsid w:val="00C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41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Macintosh Word</Application>
  <DocSecurity>0</DocSecurity>
  <Lines>5</Lines>
  <Paragraphs>1</Paragraphs>
  <ScaleCrop>false</ScaleCrop>
  <Company>University of Notre Dame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Truong</dc:creator>
  <cp:keywords/>
  <dc:description/>
  <cp:lastModifiedBy>Marisa Truong</cp:lastModifiedBy>
  <cp:revision>2</cp:revision>
  <dcterms:created xsi:type="dcterms:W3CDTF">2011-07-22T18:48:00Z</dcterms:created>
  <dcterms:modified xsi:type="dcterms:W3CDTF">2011-07-22T18:48:00Z</dcterms:modified>
</cp:coreProperties>
</file>