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BB" w:rsidRPr="002E7029" w:rsidRDefault="004F1CBB" w:rsidP="004F1CBB">
      <w:pPr>
        <w:spacing w:line="480" w:lineRule="auto"/>
        <w:jc w:val="both"/>
        <w:rPr>
          <w:b/>
        </w:rPr>
      </w:pPr>
      <w:r>
        <w:rPr>
          <w:b/>
        </w:rPr>
        <w:t>Methods</w:t>
      </w:r>
      <w:r w:rsidRPr="002E7029">
        <w:rPr>
          <w:b/>
        </w:rPr>
        <w:t xml:space="preserve"> S1:</w:t>
      </w:r>
      <w:r>
        <w:rPr>
          <w:b/>
        </w:rPr>
        <w:t xml:space="preserve"> </w:t>
      </w:r>
      <w:r w:rsidRPr="006F39E7">
        <w:rPr>
          <w:b/>
        </w:rPr>
        <w:t>Genotyping of mice and analysis of Cre-mediated recombination</w:t>
      </w:r>
      <w:r>
        <w:rPr>
          <w:b/>
        </w:rPr>
        <w:t xml:space="preserve">. </w:t>
      </w:r>
      <w:r w:rsidRPr="006F39E7">
        <w:t>Animals were genotyped using tail DNA and subjected to PCR analysis.  The following primers were used for PCR of the FAK locus: P1 (5’-GAGAATCCAGCTTTGGCTGTTG-3’) and GenoRV (5’-GAATGCTACAGGAACCAAATAAC-3’).  This primer set generates 290-bp (WT) and 400-bp (FAK</w:t>
      </w:r>
      <w:r w:rsidRPr="006F39E7">
        <w:rPr>
          <w:vertAlign w:val="superscript"/>
        </w:rPr>
        <w:t>f</w:t>
      </w:r>
      <w:r w:rsidRPr="006F39E7">
        <w:t>) products.  To determine the status of the villin locus, the following primers were used: MR1878 (5’- GTGTGGGACAGAGAACAAACC-3’) and MR1879 (5’- ACATCTTCAGGTTCTGCGGG-3’).  These primers generate an 1100-bp (Villin-Cre) product.  For PCR of the ROSA26 allele, the following primers were used: ROSA1 (5’- AAAGTCGCTCTGAGTTGTTAT-3’), ROSA2: (5’-GCGAAGAGTTTGTCCTCAACC-3’) and ROSA3: (5’- GGAGCGGGAGAAATGGATATG-3’).  ROSA1 and ROSA3 primer sets generate a 600-bp product containing the WT allele, while ROSA1 and ROSA2 primer sets generate a 300-bp product containing the ROSA26LacZ</w:t>
      </w:r>
      <w:r w:rsidRPr="006F39E7">
        <w:rPr>
          <w:vertAlign w:val="superscript"/>
        </w:rPr>
        <w:t>f-STOP-f</w:t>
      </w:r>
      <w:r w:rsidRPr="006F39E7">
        <w:t xml:space="preserve"> allele.  To check for Cre-mediated recombination in intestinal tissues, DNA was isolated from homogenates of intestinal tissues (ileum, cecum, colon) and subjected to PCR.  The following primers were used: LoxP (5’GACCTTCAACTTCTCATTTCTCCC-3’) and GenoRV (see above). These primers amplified products consisting of a </w:t>
      </w:r>
      <w:r w:rsidRPr="006F39E7">
        <w:rPr>
          <w:i/>
        </w:rPr>
        <w:t>FAK</w:t>
      </w:r>
      <w:r w:rsidRPr="006F39E7">
        <w:rPr>
          <w:i/>
          <w:vertAlign w:val="superscript"/>
        </w:rPr>
        <w:t>f/f</w:t>
      </w:r>
      <w:r w:rsidRPr="006F39E7">
        <w:rPr>
          <w:i/>
        </w:rPr>
        <w:t xml:space="preserve"> </w:t>
      </w:r>
      <w:r w:rsidRPr="006F39E7">
        <w:t>(1.6 kb), and a Cre-mediated recombined fragment (327 bp).  PCR fragments were separated on 1.5% agarose gels.</w:t>
      </w:r>
    </w:p>
    <w:p w:rsidR="004F1CBB" w:rsidRDefault="004F1CBB" w:rsidP="004F1CBB">
      <w:pPr>
        <w:spacing w:line="480" w:lineRule="auto"/>
        <w:jc w:val="both"/>
      </w:pPr>
    </w:p>
    <w:sectPr w:rsidR="004F1CBB" w:rsidSect="004A51E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F1CBB"/>
    <w:rsid w:val="004F1CBB"/>
  </w:rsids>
  <m:mathPr>
    <m:mathFont m:val="Dutch801BT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BB"/>
    <w:rPr>
      <w:rFonts w:ascii="Arial" w:eastAsia="Arial" w:hAnsi="Arial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University of Virginia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Owen</dc:creator>
  <cp:keywords/>
  <cp:lastModifiedBy>Katherine Owen</cp:lastModifiedBy>
  <cp:revision>1</cp:revision>
  <dcterms:created xsi:type="dcterms:W3CDTF">2011-07-22T15:58:00Z</dcterms:created>
  <dcterms:modified xsi:type="dcterms:W3CDTF">2011-07-22T15:59:00Z</dcterms:modified>
</cp:coreProperties>
</file>