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81ABB" w:rsidRDefault="00781ABB" w:rsidP="00781ABB">
      <w:pPr>
        <w:rPr>
          <w:b/>
        </w:rPr>
      </w:pPr>
    </w:p>
    <w:p w:rsidR="00781ABB" w:rsidRDefault="00781ABB" w:rsidP="00781ABB">
      <w:r w:rsidRPr="002D492B">
        <w:rPr>
          <w:b/>
        </w:rPr>
        <w:t>Table S1.</w:t>
      </w:r>
      <w:r>
        <w:t xml:space="preserve"> Tests of constant within-patient subpopulation frequencies without putative recombinant sequences</w:t>
      </w:r>
    </w:p>
    <w:tbl>
      <w:tblPr>
        <w:tblStyle w:val="TableGrid"/>
        <w:tblW w:w="0" w:type="auto"/>
        <w:tblLook w:val="00BF"/>
      </w:tblPr>
      <w:tblGrid>
        <w:gridCol w:w="1476"/>
        <w:gridCol w:w="1476"/>
        <w:gridCol w:w="1476"/>
        <w:gridCol w:w="1476"/>
        <w:gridCol w:w="1476"/>
        <w:gridCol w:w="1476"/>
      </w:tblGrid>
      <w:tr w:rsidR="00781ABB">
        <w:tc>
          <w:tcPr>
            <w:tcW w:w="1476" w:type="dxa"/>
          </w:tcPr>
          <w:p w:rsidR="00781ABB" w:rsidRDefault="00781ABB" w:rsidP="000471F6">
            <w:r>
              <w:t>Day 3</w:t>
            </w:r>
          </w:p>
        </w:tc>
        <w:tc>
          <w:tcPr>
            <w:tcW w:w="1476" w:type="dxa"/>
          </w:tcPr>
          <w:p w:rsidR="00781ABB" w:rsidRDefault="00781ABB" w:rsidP="000471F6">
            <w:r>
              <w:t>Day 11</w:t>
            </w:r>
          </w:p>
        </w:tc>
        <w:tc>
          <w:tcPr>
            <w:tcW w:w="1476" w:type="dxa"/>
          </w:tcPr>
          <w:p w:rsidR="00781ABB" w:rsidRDefault="00781ABB" w:rsidP="000471F6">
            <w:r>
              <w:t>Day 18</w:t>
            </w:r>
          </w:p>
        </w:tc>
        <w:tc>
          <w:tcPr>
            <w:tcW w:w="1476" w:type="dxa"/>
          </w:tcPr>
          <w:p w:rsidR="00781ABB" w:rsidRDefault="00781ABB" w:rsidP="000471F6">
            <w:r>
              <w:t>Day 25</w:t>
            </w:r>
          </w:p>
        </w:tc>
        <w:tc>
          <w:tcPr>
            <w:tcW w:w="1476" w:type="dxa"/>
          </w:tcPr>
          <w:p w:rsidR="00781ABB" w:rsidRDefault="00781ABB" w:rsidP="000471F6">
            <w:r>
              <w:t>Day 32</w:t>
            </w:r>
          </w:p>
        </w:tc>
        <w:tc>
          <w:tcPr>
            <w:tcW w:w="1476" w:type="dxa"/>
          </w:tcPr>
          <w:p w:rsidR="00781ABB" w:rsidRDefault="00781ABB" w:rsidP="000471F6">
            <w:r>
              <w:t>Day 522</w:t>
            </w:r>
          </w:p>
        </w:tc>
      </w:tr>
      <w:tr w:rsidR="00781ABB">
        <w:tc>
          <w:tcPr>
            <w:tcW w:w="1476" w:type="dxa"/>
          </w:tcPr>
          <w:p w:rsidR="00781ABB" w:rsidRDefault="00781ABB" w:rsidP="000471F6">
            <w:r>
              <w:t>0.585</w:t>
            </w:r>
          </w:p>
        </w:tc>
        <w:tc>
          <w:tcPr>
            <w:tcW w:w="1476" w:type="dxa"/>
          </w:tcPr>
          <w:p w:rsidR="00781ABB" w:rsidRDefault="00781ABB" w:rsidP="000471F6">
            <w:r>
              <w:t>0.535</w:t>
            </w:r>
          </w:p>
        </w:tc>
        <w:tc>
          <w:tcPr>
            <w:tcW w:w="1476" w:type="dxa"/>
          </w:tcPr>
          <w:p w:rsidR="00781ABB" w:rsidRDefault="00781ABB" w:rsidP="000471F6">
            <w:r>
              <w:t>0.169</w:t>
            </w:r>
          </w:p>
        </w:tc>
        <w:tc>
          <w:tcPr>
            <w:tcW w:w="1476" w:type="dxa"/>
          </w:tcPr>
          <w:p w:rsidR="00781ABB" w:rsidRDefault="00781ABB" w:rsidP="000471F6">
            <w:r>
              <w:t>0.145</w:t>
            </w:r>
          </w:p>
        </w:tc>
        <w:tc>
          <w:tcPr>
            <w:tcW w:w="1476" w:type="dxa"/>
          </w:tcPr>
          <w:p w:rsidR="00781ABB" w:rsidRDefault="00781ABB" w:rsidP="000471F6">
            <w:r>
              <w:t>0.148</w:t>
            </w:r>
          </w:p>
        </w:tc>
        <w:tc>
          <w:tcPr>
            <w:tcW w:w="1476" w:type="dxa"/>
          </w:tcPr>
          <w:p w:rsidR="00781ABB" w:rsidRDefault="00781ABB" w:rsidP="000471F6">
            <w:r>
              <w:t>0.064</w:t>
            </w:r>
          </w:p>
        </w:tc>
      </w:tr>
    </w:tbl>
    <w:p w:rsidR="00781ABB" w:rsidRDefault="00781ABB" w:rsidP="00781ABB"/>
    <w:p w:rsidR="00781ABB" w:rsidRDefault="00781ABB" w:rsidP="00781ABB"/>
    <w:p w:rsidR="00781ABB" w:rsidRDefault="00781ABB" w:rsidP="00781ABB"/>
    <w:p w:rsidR="00781ABB" w:rsidRDefault="00781ABB" w:rsidP="00781ABB"/>
    <w:p w:rsidR="007A28CC" w:rsidRDefault="009B1D19"/>
    <w:sectPr w:rsidR="007A28CC" w:rsidSect="00B27BF9">
      <w:headerReference w:type="even" r:id="rId4"/>
      <w:headerReference w:type="default" r:id="rId5"/>
      <w:pgSz w:w="12240" w:h="15840"/>
      <w:pgMar w:top="1440" w:right="1797" w:bottom="1440" w:left="1797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2638D" w:rsidRDefault="0080753B" w:rsidP="00F154A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1A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638D" w:rsidRDefault="009B1D19" w:rsidP="00F154A6">
    <w:pPr>
      <w:pStyle w:val="Header"/>
      <w:ind w:right="360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2638D" w:rsidRDefault="0080753B" w:rsidP="00F154A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1A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1D19">
      <w:rPr>
        <w:rStyle w:val="PageNumber"/>
        <w:noProof/>
      </w:rPr>
      <w:t>1</w:t>
    </w:r>
    <w:r>
      <w:rPr>
        <w:rStyle w:val="PageNumber"/>
      </w:rPr>
      <w:fldChar w:fldCharType="end"/>
    </w:r>
  </w:p>
  <w:p w:rsidR="0062638D" w:rsidRDefault="009B1D19" w:rsidP="00F154A6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71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81ABB"/>
    <w:rsid w:val="00781ABB"/>
    <w:rsid w:val="0080753B"/>
    <w:rsid w:val="009B1D1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B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781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1ABB"/>
    <w:rPr>
      <w:sz w:val="24"/>
      <w:szCs w:val="24"/>
    </w:rPr>
  </w:style>
  <w:style w:type="character" w:styleId="PageNumber">
    <w:name w:val="page number"/>
    <w:basedOn w:val="DefaultParagraphFont"/>
    <w:rsid w:val="00781ABB"/>
  </w:style>
  <w:style w:type="table" w:styleId="TableGrid">
    <w:name w:val="Table Grid"/>
    <w:basedOn w:val="TableNormal"/>
    <w:uiPriority w:val="59"/>
    <w:rsid w:val="00781ABB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Macintosh Word</Application>
  <DocSecurity>0</DocSecurity>
  <Lines>3</Lines>
  <Paragraphs>1</Paragraphs>
  <ScaleCrop>false</ScaleCrop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Leitner</dc:creator>
  <cp:keywords/>
  <cp:lastModifiedBy>T Leitner</cp:lastModifiedBy>
  <cp:revision>2</cp:revision>
  <dcterms:created xsi:type="dcterms:W3CDTF">2011-06-13T19:09:00Z</dcterms:created>
  <dcterms:modified xsi:type="dcterms:W3CDTF">2011-06-13T19:09:00Z</dcterms:modified>
</cp:coreProperties>
</file>