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218B" w:rsidRPr="003F12B6" w:rsidRDefault="0014218B" w:rsidP="001421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rPr>
          <w:b/>
          <w:sz w:val="28"/>
          <w:szCs w:val="28"/>
        </w:rPr>
      </w:pPr>
      <w:r w:rsidRPr="003F12B6">
        <w:rPr>
          <w:b/>
          <w:sz w:val="28"/>
          <w:szCs w:val="28"/>
        </w:rPr>
        <w:t>Increased expression of the dyslexia candidate gene DCDC2 affects length and signaling of primary cilia in neurons</w:t>
      </w:r>
    </w:p>
    <w:p w:rsidR="005E57EE" w:rsidRPr="00C25E67" w:rsidRDefault="005E57EE" w:rsidP="005E57EE">
      <w:pPr>
        <w:pStyle w:val="Heading2"/>
        <w:rPr>
          <w:i w:val="0"/>
          <w:iCs w:val="0"/>
          <w:sz w:val="20"/>
        </w:rPr>
      </w:pPr>
      <w:proofErr w:type="spellStart"/>
      <w:r w:rsidRPr="00313A05">
        <w:rPr>
          <w:i w:val="0"/>
          <w:iCs w:val="0"/>
          <w:sz w:val="20"/>
        </w:rPr>
        <w:t>Satu</w:t>
      </w:r>
      <w:proofErr w:type="spellEnd"/>
      <w:r w:rsidRPr="00313A05">
        <w:rPr>
          <w:i w:val="0"/>
          <w:iCs w:val="0"/>
          <w:sz w:val="20"/>
        </w:rPr>
        <w:t xml:space="preserve"> </w:t>
      </w:r>
      <w:proofErr w:type="spellStart"/>
      <w:r w:rsidRPr="00313A05">
        <w:rPr>
          <w:i w:val="0"/>
          <w:iCs w:val="0"/>
          <w:sz w:val="20"/>
        </w:rPr>
        <w:t>Massinen</w:t>
      </w:r>
      <w:proofErr w:type="spellEnd"/>
      <w:r w:rsidRPr="00313A05">
        <w:rPr>
          <w:i w:val="0"/>
          <w:iCs w:val="0"/>
          <w:sz w:val="20"/>
        </w:rPr>
        <w:t xml:space="preserve">, Marie-Estelle </w:t>
      </w:r>
      <w:proofErr w:type="spellStart"/>
      <w:r w:rsidRPr="00313A05">
        <w:rPr>
          <w:i w:val="0"/>
          <w:iCs w:val="0"/>
          <w:sz w:val="20"/>
        </w:rPr>
        <w:t>Hokkanen</w:t>
      </w:r>
      <w:proofErr w:type="spellEnd"/>
      <w:r w:rsidRPr="00313A05">
        <w:rPr>
          <w:i w:val="0"/>
          <w:iCs w:val="0"/>
          <w:sz w:val="20"/>
        </w:rPr>
        <w:t xml:space="preserve">, </w:t>
      </w:r>
      <w:r w:rsidR="00C25E67" w:rsidRPr="00313A05">
        <w:rPr>
          <w:i w:val="0"/>
          <w:iCs w:val="0"/>
          <w:sz w:val="20"/>
        </w:rPr>
        <w:t xml:space="preserve">Hans </w:t>
      </w:r>
      <w:proofErr w:type="spellStart"/>
      <w:r w:rsidR="00C25E67" w:rsidRPr="00313A05">
        <w:rPr>
          <w:i w:val="0"/>
          <w:iCs w:val="0"/>
          <w:sz w:val="20"/>
        </w:rPr>
        <w:t>Matsson</w:t>
      </w:r>
      <w:proofErr w:type="spellEnd"/>
      <w:r w:rsidR="00C25E67" w:rsidRPr="00313A05">
        <w:rPr>
          <w:i w:val="0"/>
          <w:iCs w:val="0"/>
          <w:sz w:val="20"/>
        </w:rPr>
        <w:t xml:space="preserve">, </w:t>
      </w:r>
      <w:proofErr w:type="spellStart"/>
      <w:r w:rsidR="0004347A" w:rsidRPr="00313A05">
        <w:rPr>
          <w:i w:val="0"/>
          <w:iCs w:val="0"/>
          <w:sz w:val="20"/>
        </w:rPr>
        <w:t>Kristiina</w:t>
      </w:r>
      <w:proofErr w:type="spellEnd"/>
      <w:r w:rsidR="0004347A" w:rsidRPr="00313A05">
        <w:rPr>
          <w:i w:val="0"/>
          <w:iCs w:val="0"/>
          <w:sz w:val="20"/>
        </w:rPr>
        <w:t xml:space="preserve"> </w:t>
      </w:r>
      <w:proofErr w:type="spellStart"/>
      <w:r w:rsidR="0004347A" w:rsidRPr="00313A05">
        <w:rPr>
          <w:i w:val="0"/>
          <w:iCs w:val="0"/>
          <w:sz w:val="20"/>
        </w:rPr>
        <w:t>Tammimies</w:t>
      </w:r>
      <w:proofErr w:type="spellEnd"/>
      <w:r w:rsidR="0094300E">
        <w:rPr>
          <w:i w:val="0"/>
          <w:iCs w:val="0"/>
          <w:sz w:val="20"/>
        </w:rPr>
        <w:t>,</w:t>
      </w:r>
      <w:r w:rsidR="0094300E" w:rsidRPr="0094300E">
        <w:rPr>
          <w:i w:val="0"/>
          <w:sz w:val="20"/>
          <w:szCs w:val="20"/>
        </w:rPr>
        <w:t xml:space="preserve"> Isabel Tapia-</w:t>
      </w:r>
      <w:proofErr w:type="spellStart"/>
      <w:r w:rsidR="0094300E" w:rsidRPr="0094300E">
        <w:rPr>
          <w:i w:val="0"/>
          <w:sz w:val="20"/>
          <w:szCs w:val="20"/>
        </w:rPr>
        <w:t>Páez</w:t>
      </w:r>
      <w:proofErr w:type="spellEnd"/>
      <w:r w:rsidR="0004347A" w:rsidRPr="0094300E">
        <w:rPr>
          <w:i w:val="0"/>
          <w:iCs w:val="0"/>
          <w:sz w:val="20"/>
          <w:szCs w:val="20"/>
        </w:rPr>
        <w:t xml:space="preserve">, </w:t>
      </w:r>
      <w:proofErr w:type="spellStart"/>
      <w:r w:rsidR="004B74A4">
        <w:rPr>
          <w:i w:val="0"/>
          <w:iCs w:val="0"/>
          <w:sz w:val="20"/>
          <w:szCs w:val="20"/>
        </w:rPr>
        <w:t>Vanina</w:t>
      </w:r>
      <w:proofErr w:type="spellEnd"/>
      <w:r w:rsidR="004B74A4">
        <w:rPr>
          <w:i w:val="0"/>
          <w:iCs w:val="0"/>
          <w:sz w:val="20"/>
          <w:szCs w:val="20"/>
        </w:rPr>
        <w:t xml:space="preserve"> </w:t>
      </w:r>
      <w:proofErr w:type="spellStart"/>
      <w:r w:rsidR="004B74A4">
        <w:rPr>
          <w:i w:val="0"/>
          <w:iCs w:val="0"/>
          <w:sz w:val="20"/>
          <w:szCs w:val="20"/>
        </w:rPr>
        <w:t>Dahlström-Heuser</w:t>
      </w:r>
      <w:proofErr w:type="spellEnd"/>
      <w:r w:rsidR="004B74A4">
        <w:rPr>
          <w:i w:val="0"/>
          <w:iCs w:val="0"/>
          <w:sz w:val="20"/>
          <w:szCs w:val="20"/>
        </w:rPr>
        <w:t xml:space="preserve">, </w:t>
      </w:r>
      <w:proofErr w:type="spellStart"/>
      <w:r w:rsidR="0004347A" w:rsidRPr="00313A05">
        <w:rPr>
          <w:i w:val="0"/>
          <w:iCs w:val="0"/>
          <w:sz w:val="20"/>
        </w:rPr>
        <w:t>Juha</w:t>
      </w:r>
      <w:proofErr w:type="spellEnd"/>
      <w:r w:rsidR="0004347A" w:rsidRPr="00313A05">
        <w:rPr>
          <w:i w:val="0"/>
          <w:iCs w:val="0"/>
          <w:sz w:val="20"/>
        </w:rPr>
        <w:t xml:space="preserve"> </w:t>
      </w:r>
      <w:proofErr w:type="spellStart"/>
      <w:r w:rsidR="0004347A" w:rsidRPr="00313A05">
        <w:rPr>
          <w:i w:val="0"/>
          <w:iCs w:val="0"/>
          <w:sz w:val="20"/>
        </w:rPr>
        <w:t>Kuja-Panula</w:t>
      </w:r>
      <w:proofErr w:type="spellEnd"/>
      <w:r w:rsidR="0004347A" w:rsidRPr="00313A05">
        <w:rPr>
          <w:i w:val="0"/>
          <w:iCs w:val="0"/>
          <w:sz w:val="20"/>
        </w:rPr>
        <w:t>,</w:t>
      </w:r>
      <w:r w:rsidR="00932117">
        <w:rPr>
          <w:i w:val="0"/>
          <w:iCs w:val="0"/>
          <w:sz w:val="20"/>
        </w:rPr>
        <w:t xml:space="preserve"> </w:t>
      </w:r>
      <w:r w:rsidR="00080919" w:rsidRPr="00313A05">
        <w:rPr>
          <w:i w:val="0"/>
          <w:sz w:val="20"/>
        </w:rPr>
        <w:t xml:space="preserve">Jan </w:t>
      </w:r>
      <w:proofErr w:type="spellStart"/>
      <w:r w:rsidR="00080919" w:rsidRPr="00313A05">
        <w:rPr>
          <w:i w:val="0"/>
          <w:sz w:val="20"/>
        </w:rPr>
        <w:t>Burghoorn</w:t>
      </w:r>
      <w:proofErr w:type="spellEnd"/>
      <w:r w:rsidR="00080919" w:rsidRPr="00313A05">
        <w:rPr>
          <w:i w:val="0"/>
          <w:sz w:val="20"/>
        </w:rPr>
        <w:t xml:space="preserve">, </w:t>
      </w:r>
      <w:proofErr w:type="spellStart"/>
      <w:r w:rsidR="00080919" w:rsidRPr="00313A05">
        <w:rPr>
          <w:i w:val="0"/>
          <w:sz w:val="20"/>
        </w:rPr>
        <w:t>Kristian</w:t>
      </w:r>
      <w:proofErr w:type="spellEnd"/>
      <w:r w:rsidR="00080919" w:rsidRPr="00313A05">
        <w:rPr>
          <w:i w:val="0"/>
          <w:sz w:val="20"/>
        </w:rPr>
        <w:t xml:space="preserve"> E. </w:t>
      </w:r>
      <w:proofErr w:type="spellStart"/>
      <w:r w:rsidR="00080919" w:rsidRPr="00313A05">
        <w:rPr>
          <w:i w:val="0"/>
          <w:sz w:val="20"/>
        </w:rPr>
        <w:t>Jeppsson</w:t>
      </w:r>
      <w:proofErr w:type="spellEnd"/>
      <w:r w:rsidR="00080919" w:rsidRPr="00313A05">
        <w:rPr>
          <w:i w:val="0"/>
          <w:sz w:val="20"/>
        </w:rPr>
        <w:t>,</w:t>
      </w:r>
      <w:r w:rsidR="00440FE9" w:rsidRPr="00313A05">
        <w:rPr>
          <w:i w:val="0"/>
          <w:sz w:val="20"/>
        </w:rPr>
        <w:t xml:space="preserve"> </w:t>
      </w:r>
      <w:r w:rsidR="00080919" w:rsidRPr="00313A05">
        <w:rPr>
          <w:i w:val="0"/>
          <w:sz w:val="20"/>
        </w:rPr>
        <w:t xml:space="preserve">Peter </w:t>
      </w:r>
      <w:proofErr w:type="spellStart"/>
      <w:r w:rsidR="00080919" w:rsidRPr="00313A05">
        <w:rPr>
          <w:i w:val="0"/>
          <w:sz w:val="20"/>
        </w:rPr>
        <w:t>Swoboda</w:t>
      </w:r>
      <w:proofErr w:type="spellEnd"/>
      <w:r w:rsidR="0004347A" w:rsidRPr="00313A05">
        <w:rPr>
          <w:i w:val="0"/>
          <w:sz w:val="20"/>
        </w:rPr>
        <w:t xml:space="preserve">, </w:t>
      </w:r>
      <w:proofErr w:type="spellStart"/>
      <w:r w:rsidR="004B74A4" w:rsidRPr="00313A05">
        <w:rPr>
          <w:i w:val="0"/>
          <w:sz w:val="20"/>
        </w:rPr>
        <w:t>Myriam</w:t>
      </w:r>
      <w:proofErr w:type="spellEnd"/>
      <w:r w:rsidR="004B74A4" w:rsidRPr="00313A05">
        <w:rPr>
          <w:i w:val="0"/>
          <w:sz w:val="20"/>
        </w:rPr>
        <w:t xml:space="preserve"> </w:t>
      </w:r>
      <w:proofErr w:type="spellStart"/>
      <w:r w:rsidR="004B74A4" w:rsidRPr="00313A05">
        <w:rPr>
          <w:i w:val="0"/>
          <w:sz w:val="20"/>
        </w:rPr>
        <w:t>Peyrard-Janvid</w:t>
      </w:r>
      <w:proofErr w:type="spellEnd"/>
      <w:r w:rsidR="004B74A4" w:rsidRPr="00313A05">
        <w:rPr>
          <w:i w:val="0"/>
          <w:sz w:val="20"/>
        </w:rPr>
        <w:t xml:space="preserve">, </w:t>
      </w:r>
      <w:r w:rsidRPr="00313A05">
        <w:rPr>
          <w:i w:val="0"/>
          <w:iCs w:val="0"/>
          <w:sz w:val="20"/>
        </w:rPr>
        <w:t xml:space="preserve">Rune </w:t>
      </w:r>
      <w:proofErr w:type="spellStart"/>
      <w:r w:rsidRPr="00313A05">
        <w:rPr>
          <w:i w:val="0"/>
          <w:iCs w:val="0"/>
          <w:sz w:val="20"/>
        </w:rPr>
        <w:t>Toftgård</w:t>
      </w:r>
      <w:proofErr w:type="spellEnd"/>
      <w:r w:rsidRPr="00313A05">
        <w:rPr>
          <w:i w:val="0"/>
          <w:iCs w:val="0"/>
          <w:sz w:val="20"/>
        </w:rPr>
        <w:t xml:space="preserve">, </w:t>
      </w:r>
      <w:proofErr w:type="spellStart"/>
      <w:r w:rsidRPr="00313A05">
        <w:rPr>
          <w:i w:val="0"/>
          <w:iCs w:val="0"/>
          <w:sz w:val="20"/>
        </w:rPr>
        <w:t>Eero</w:t>
      </w:r>
      <w:proofErr w:type="spellEnd"/>
      <w:r w:rsidRPr="00313A05">
        <w:rPr>
          <w:i w:val="0"/>
          <w:iCs w:val="0"/>
          <w:sz w:val="20"/>
        </w:rPr>
        <w:t xml:space="preserve"> </w:t>
      </w:r>
      <w:proofErr w:type="spellStart"/>
      <w:r w:rsidRPr="00313A05">
        <w:rPr>
          <w:i w:val="0"/>
          <w:iCs w:val="0"/>
          <w:sz w:val="20"/>
        </w:rPr>
        <w:t>Castrén</w:t>
      </w:r>
      <w:proofErr w:type="spellEnd"/>
      <w:r w:rsidRPr="00313A05">
        <w:rPr>
          <w:i w:val="0"/>
          <w:iCs w:val="0"/>
          <w:sz w:val="20"/>
        </w:rPr>
        <w:t xml:space="preserve">, </w:t>
      </w:r>
      <w:proofErr w:type="spellStart"/>
      <w:r w:rsidRPr="00313A05">
        <w:rPr>
          <w:i w:val="0"/>
          <w:iCs w:val="0"/>
          <w:sz w:val="20"/>
        </w:rPr>
        <w:t>Juha</w:t>
      </w:r>
      <w:proofErr w:type="spellEnd"/>
      <w:r w:rsidRPr="00313A05">
        <w:rPr>
          <w:i w:val="0"/>
          <w:iCs w:val="0"/>
          <w:sz w:val="20"/>
        </w:rPr>
        <w:t xml:space="preserve"> </w:t>
      </w:r>
      <w:proofErr w:type="spellStart"/>
      <w:r w:rsidRPr="00313A05">
        <w:rPr>
          <w:i w:val="0"/>
          <w:iCs w:val="0"/>
          <w:sz w:val="20"/>
        </w:rPr>
        <w:t>Kere</w:t>
      </w:r>
      <w:proofErr w:type="spellEnd"/>
    </w:p>
    <w:p w:rsidR="005E57EE" w:rsidRPr="00C25E67" w:rsidRDefault="005E57EE" w:rsidP="005E57EE">
      <w:pPr>
        <w:spacing w:line="360" w:lineRule="auto"/>
      </w:pPr>
    </w:p>
    <w:p w:rsidR="005E57EE" w:rsidRDefault="00EE241E" w:rsidP="005E57EE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EE241E">
        <w:rPr>
          <w:rFonts w:ascii="Arial" w:hAnsi="Arial" w:cs="Arial"/>
          <w:b/>
          <w:i/>
          <w:sz w:val="28"/>
          <w:szCs w:val="28"/>
        </w:rPr>
        <w:t xml:space="preserve">Supplementary information </w:t>
      </w:r>
      <w:r w:rsidR="0072069C">
        <w:rPr>
          <w:rFonts w:ascii="Arial" w:hAnsi="Arial" w:cs="Arial"/>
          <w:b/>
          <w:i/>
          <w:sz w:val="28"/>
          <w:szCs w:val="28"/>
        </w:rPr>
        <w:t>methods</w:t>
      </w:r>
    </w:p>
    <w:p w:rsidR="00645F8F" w:rsidRDefault="00645F8F" w:rsidP="005E57EE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:rsidR="00645F8F" w:rsidRPr="003D6605" w:rsidRDefault="00645F8F" w:rsidP="00645F8F">
      <w:pPr>
        <w:pStyle w:val="Heading3"/>
        <w:spacing w:before="120" w:after="120" w:line="360" w:lineRule="auto"/>
        <w:rPr>
          <w:rFonts w:ascii="Times New Roman" w:hAnsi="Times New Roman" w:cs="Times New Roman"/>
        </w:rPr>
      </w:pPr>
      <w:r w:rsidRPr="003D6605">
        <w:rPr>
          <w:rFonts w:ascii="Times New Roman" w:hAnsi="Times New Roman" w:cs="Times New Roman"/>
        </w:rPr>
        <w:t>Preparation of expression constructs</w:t>
      </w:r>
    </w:p>
    <w:p w:rsidR="00645F8F" w:rsidRPr="003D6605" w:rsidRDefault="00645F8F" w:rsidP="00645F8F">
      <w:pPr>
        <w:spacing w:before="120" w:after="120" w:line="360" w:lineRule="auto"/>
      </w:pPr>
      <w:r w:rsidRPr="003D6605">
        <w:rPr>
          <w:color w:val="000000"/>
        </w:rPr>
        <w:t xml:space="preserve">The full length DCDC2 constructs were cloned into pcDNA3.1/V5-His-TOPO </w:t>
      </w:r>
      <w:r w:rsidR="0014218B">
        <w:rPr>
          <w:color w:val="000000"/>
        </w:rPr>
        <w:t xml:space="preserve">and </w:t>
      </w:r>
      <w:r w:rsidR="0014218B" w:rsidRPr="003D6605">
        <w:rPr>
          <w:color w:val="000000"/>
        </w:rPr>
        <w:t xml:space="preserve">pcDNA3.1/NT-GFP-TOPO </w:t>
      </w:r>
      <w:r w:rsidRPr="003D6605">
        <w:rPr>
          <w:color w:val="000000"/>
        </w:rPr>
        <w:t>vectors (</w:t>
      </w:r>
      <w:proofErr w:type="spellStart"/>
      <w:r w:rsidRPr="003D6605">
        <w:rPr>
          <w:color w:val="000000"/>
        </w:rPr>
        <w:t>Invitrogen</w:t>
      </w:r>
      <w:proofErr w:type="spellEnd"/>
      <w:r w:rsidRPr="003D6605">
        <w:rPr>
          <w:color w:val="000000"/>
        </w:rPr>
        <w:t xml:space="preserve">) using the TOPO cloning strategy according to the manufacturer’s instructions. The insert in the DCDC2-V5 plasmid is bases 261-1730 of </w:t>
      </w:r>
      <w:r w:rsidRPr="003D6605">
        <w:rPr>
          <w:i/>
          <w:color w:val="000000"/>
        </w:rPr>
        <w:t>DCDC2</w:t>
      </w:r>
      <w:r w:rsidRPr="003D6605">
        <w:rPr>
          <w:color w:val="000000"/>
        </w:rPr>
        <w:t xml:space="preserve"> </w:t>
      </w:r>
      <w:proofErr w:type="spellStart"/>
      <w:r w:rsidRPr="003D6605">
        <w:rPr>
          <w:color w:val="000000"/>
        </w:rPr>
        <w:t>cDNA</w:t>
      </w:r>
      <w:proofErr w:type="spellEnd"/>
      <w:r w:rsidRPr="003D6605">
        <w:rPr>
          <w:color w:val="000000"/>
        </w:rPr>
        <w:t xml:space="preserve"> (NM_016356.3). The V5 </w:t>
      </w:r>
      <w:proofErr w:type="spellStart"/>
      <w:r w:rsidRPr="003D6605">
        <w:rPr>
          <w:color w:val="000000"/>
        </w:rPr>
        <w:t>epitope</w:t>
      </w:r>
      <w:proofErr w:type="spellEnd"/>
      <w:r w:rsidRPr="003D6605">
        <w:rPr>
          <w:color w:val="000000"/>
        </w:rPr>
        <w:t xml:space="preserve"> tag is in the C-terminus of the resulting fusion protein. The insert in DCDC2-GFP construct is bases from 306 to 1733 of the </w:t>
      </w:r>
      <w:r w:rsidRPr="003D6605">
        <w:rPr>
          <w:i/>
          <w:color w:val="000000"/>
        </w:rPr>
        <w:t>DCDC2</w:t>
      </w:r>
      <w:r w:rsidRPr="003D6605">
        <w:rPr>
          <w:color w:val="000000"/>
        </w:rPr>
        <w:t xml:space="preserve"> </w:t>
      </w:r>
      <w:proofErr w:type="spellStart"/>
      <w:r w:rsidRPr="003D6605">
        <w:rPr>
          <w:color w:val="000000"/>
        </w:rPr>
        <w:t>cDNA</w:t>
      </w:r>
      <w:proofErr w:type="spellEnd"/>
      <w:r w:rsidRPr="003D6605">
        <w:rPr>
          <w:color w:val="000000"/>
        </w:rPr>
        <w:t xml:space="preserve">. The GFP tag is in the N-terminus of the resulting fusion protein. </w:t>
      </w:r>
      <w:r w:rsidRPr="003D6605">
        <w:t>The sequence of the vectors was confirmed by DNA sequencing.</w:t>
      </w:r>
      <w:r w:rsidRPr="003D6605">
        <w:rPr>
          <w:color w:val="000000"/>
        </w:rPr>
        <w:t xml:space="preserve"> </w:t>
      </w:r>
    </w:p>
    <w:p w:rsidR="00645F8F" w:rsidRPr="003D6605" w:rsidRDefault="00645F8F" w:rsidP="00645F8F">
      <w:pPr>
        <w:spacing w:before="120" w:after="120" w:line="360" w:lineRule="auto"/>
        <w:rPr>
          <w:color w:val="000000"/>
        </w:rPr>
      </w:pPr>
    </w:p>
    <w:p w:rsidR="00645F8F" w:rsidRPr="003D6605" w:rsidRDefault="00645F8F" w:rsidP="00645F8F">
      <w:pPr>
        <w:spacing w:before="120" w:after="120" w:line="360" w:lineRule="auto"/>
      </w:pPr>
      <w:r w:rsidRPr="003D6605">
        <w:rPr>
          <w:color w:val="000000"/>
        </w:rPr>
        <w:t xml:space="preserve">The deletion constructs were prepared using the DCDC2-V5 plasmid as a template. Two PCR fragments were first amplified from each side of the deletion. The DCDC2-Del1-V5 construct lacks the first </w:t>
      </w:r>
      <w:proofErr w:type="spellStart"/>
      <w:r w:rsidRPr="003D6605">
        <w:rPr>
          <w:color w:val="000000"/>
        </w:rPr>
        <w:t>doublecortin</w:t>
      </w:r>
      <w:proofErr w:type="spellEnd"/>
      <w:r w:rsidRPr="003D6605">
        <w:rPr>
          <w:color w:val="000000"/>
        </w:rPr>
        <w:t xml:space="preserve"> domain (residues 12 - 100 in </w:t>
      </w:r>
      <w:r w:rsidRPr="003D6605">
        <w:t>NP_057440.2</w:t>
      </w:r>
      <w:r w:rsidRPr="003D6605">
        <w:rPr>
          <w:color w:val="000000"/>
        </w:rPr>
        <w:t xml:space="preserve">, nucleotides 336 - 602 in NM_016356.3). The DCDC2-Del2-V5 construct lacks the second </w:t>
      </w:r>
      <w:proofErr w:type="spellStart"/>
      <w:r w:rsidRPr="003D6605">
        <w:rPr>
          <w:color w:val="000000"/>
        </w:rPr>
        <w:t>doublecortin</w:t>
      </w:r>
      <w:proofErr w:type="spellEnd"/>
      <w:r w:rsidRPr="003D6605">
        <w:rPr>
          <w:color w:val="000000"/>
        </w:rPr>
        <w:t xml:space="preserve"> domain (residues 134-221 in </w:t>
      </w:r>
      <w:r w:rsidRPr="003D6605">
        <w:t>NP_057440.2</w:t>
      </w:r>
      <w:r w:rsidRPr="003D6605">
        <w:rPr>
          <w:color w:val="000000"/>
        </w:rPr>
        <w:t xml:space="preserve">, nucleotides 702-965 in NM_016356.3). The 5’ portions of the deletion constructs were amplified using a shared forward primer that anneals upstream of the initiation </w:t>
      </w:r>
      <w:proofErr w:type="spellStart"/>
      <w:r w:rsidRPr="003D6605">
        <w:rPr>
          <w:color w:val="000000"/>
        </w:rPr>
        <w:t>codon</w:t>
      </w:r>
      <w:proofErr w:type="spellEnd"/>
      <w:r w:rsidRPr="003D6605">
        <w:rPr>
          <w:color w:val="000000"/>
        </w:rPr>
        <w:t xml:space="preserve"> and deletion-specific reverse primers. The 3’ portions were amplified using deletion specific forward primers with a shared reverse primer that anneals at the 5’ side of the stop </w:t>
      </w:r>
      <w:proofErr w:type="spellStart"/>
      <w:r w:rsidRPr="003D6605">
        <w:rPr>
          <w:color w:val="000000"/>
        </w:rPr>
        <w:t>codon</w:t>
      </w:r>
      <w:proofErr w:type="spellEnd"/>
      <w:r w:rsidRPr="003D6605">
        <w:rPr>
          <w:color w:val="000000"/>
        </w:rPr>
        <w:t xml:space="preserve">. The primary PCR products were mixed and used as templates in secondary PCRs with the shared forward and reverse primers. </w:t>
      </w:r>
      <w:r w:rsidRPr="003D6605">
        <w:t>The PCR fragments containing deletions were directly cloned into the pcDNA-V5-His vector using the TOPO TA cloning kit (</w:t>
      </w:r>
      <w:proofErr w:type="spellStart"/>
      <w:r w:rsidRPr="003D6605">
        <w:t>Invitrogen</w:t>
      </w:r>
      <w:proofErr w:type="spellEnd"/>
      <w:r w:rsidRPr="003D6605">
        <w:t>). The sequence of the vectors was confirmed by DNA sequencing.</w:t>
      </w:r>
      <w:r w:rsidRPr="003D6605">
        <w:rPr>
          <w:color w:val="000000"/>
        </w:rPr>
        <w:t xml:space="preserve"> </w:t>
      </w:r>
    </w:p>
    <w:p w:rsidR="00645F8F" w:rsidRPr="003D6605" w:rsidRDefault="00645F8F" w:rsidP="00645F8F">
      <w:pPr>
        <w:spacing w:before="120" w:after="120" w:line="360" w:lineRule="auto"/>
      </w:pPr>
    </w:p>
    <w:p w:rsidR="00645F8F" w:rsidRPr="003D6605" w:rsidRDefault="00645F8F" w:rsidP="00645F8F">
      <w:pPr>
        <w:spacing w:before="120" w:after="120" w:line="360" w:lineRule="auto"/>
      </w:pPr>
      <w:r w:rsidRPr="003D6605">
        <w:lastRenderedPageBreak/>
        <w:t>The Dcdc2-shRNA and control-</w:t>
      </w:r>
      <w:proofErr w:type="spellStart"/>
      <w:r w:rsidRPr="003D6605">
        <w:t>shRNA</w:t>
      </w:r>
      <w:proofErr w:type="spellEnd"/>
      <w:r w:rsidRPr="003D6605">
        <w:t xml:space="preserve"> constructs were cloned into mU6pro vector </w:t>
      </w:r>
      <w:r w:rsidR="00044071">
        <w:t>[1]</w:t>
      </w:r>
      <w:r w:rsidRPr="003D6605">
        <w:t xml:space="preserve">. The vector was digested with restriction enzymes Bbs1 (New England </w:t>
      </w:r>
      <w:proofErr w:type="spellStart"/>
      <w:r w:rsidRPr="003D6605">
        <w:t>Biolabs</w:t>
      </w:r>
      <w:proofErr w:type="spellEnd"/>
      <w:r w:rsidRPr="003D6605">
        <w:t>) and Xba1 (</w:t>
      </w:r>
      <w:proofErr w:type="spellStart"/>
      <w:r w:rsidRPr="003D6605">
        <w:t>Fermentas</w:t>
      </w:r>
      <w:proofErr w:type="spellEnd"/>
      <w:r w:rsidRPr="003D6605">
        <w:t xml:space="preserve">) and annealed </w:t>
      </w:r>
      <w:proofErr w:type="spellStart"/>
      <w:r w:rsidRPr="003D6605">
        <w:t>oligomers</w:t>
      </w:r>
      <w:proofErr w:type="spellEnd"/>
      <w:r w:rsidRPr="003D6605">
        <w:t xml:space="preserve"> containing the required inserts were </w:t>
      </w:r>
      <w:proofErr w:type="spellStart"/>
      <w:r w:rsidRPr="003D6605">
        <w:t>ligated</w:t>
      </w:r>
      <w:proofErr w:type="spellEnd"/>
      <w:r w:rsidRPr="003D6605">
        <w:t xml:space="preserve"> into the vector. The resulting </w:t>
      </w:r>
      <w:proofErr w:type="spellStart"/>
      <w:r w:rsidRPr="003D6605">
        <w:t>shRNA</w:t>
      </w:r>
      <w:proofErr w:type="spellEnd"/>
      <w:r w:rsidRPr="003D6605">
        <w:t xml:space="preserve"> molecules are identical to the ones used in previous Dcdc2 knockdown experiments </w:t>
      </w:r>
      <w:r w:rsidR="00044071">
        <w:t>[1]</w:t>
      </w:r>
      <w:r w:rsidRPr="003D6605">
        <w:t>. The sequence of all constructs was confirmed by DNA sequencing.</w:t>
      </w:r>
      <w:r w:rsidRPr="003D6605">
        <w:rPr>
          <w:color w:val="000000"/>
        </w:rPr>
        <w:t xml:space="preserve">  The control vector used in microtubule </w:t>
      </w:r>
      <w:proofErr w:type="spellStart"/>
      <w:r w:rsidRPr="003D6605">
        <w:rPr>
          <w:color w:val="000000"/>
        </w:rPr>
        <w:t>pelleting</w:t>
      </w:r>
      <w:proofErr w:type="spellEnd"/>
      <w:r w:rsidRPr="003D6605">
        <w:rPr>
          <w:color w:val="000000"/>
        </w:rPr>
        <w:t xml:space="preserve"> assays, pcDNA3.1/V5-His-TOPO/</w:t>
      </w:r>
      <w:proofErr w:type="spellStart"/>
      <w:r w:rsidRPr="003D6605">
        <w:rPr>
          <w:color w:val="000000"/>
        </w:rPr>
        <w:t>LacZ</w:t>
      </w:r>
      <w:proofErr w:type="spellEnd"/>
      <w:r w:rsidRPr="003D6605">
        <w:rPr>
          <w:color w:val="000000"/>
        </w:rPr>
        <w:t xml:space="preserve"> was purchased from </w:t>
      </w:r>
      <w:proofErr w:type="spellStart"/>
      <w:r w:rsidRPr="003D6605">
        <w:rPr>
          <w:color w:val="000000"/>
        </w:rPr>
        <w:t>Invitrogen</w:t>
      </w:r>
      <w:proofErr w:type="spellEnd"/>
      <w:r w:rsidRPr="003D6605">
        <w:rPr>
          <w:color w:val="000000"/>
        </w:rPr>
        <w:t xml:space="preserve">. </w:t>
      </w:r>
    </w:p>
    <w:p w:rsidR="00645F8F" w:rsidRDefault="00645F8F" w:rsidP="00645F8F">
      <w:pPr>
        <w:spacing w:before="120" w:after="120" w:line="360" w:lineRule="auto"/>
      </w:pPr>
      <w:r w:rsidRPr="003D6605">
        <w:t xml:space="preserve">In the </w:t>
      </w:r>
      <w:proofErr w:type="spellStart"/>
      <w:r w:rsidRPr="003D6605">
        <w:t>ciliary</w:t>
      </w:r>
      <w:proofErr w:type="spellEnd"/>
      <w:r w:rsidRPr="003D6605">
        <w:t xml:space="preserve"> length measurements</w:t>
      </w:r>
      <w:r>
        <w:t xml:space="preserve"> the </w:t>
      </w:r>
      <w:proofErr w:type="spellStart"/>
      <w:r>
        <w:t>overexression</w:t>
      </w:r>
      <w:proofErr w:type="spellEnd"/>
      <w:r>
        <w:t xml:space="preserve"> constructs </w:t>
      </w:r>
      <w:proofErr w:type="gramStart"/>
      <w:r>
        <w:t xml:space="preserve">and </w:t>
      </w:r>
      <w:r w:rsidRPr="003D6605">
        <w:t xml:space="preserve"> the</w:t>
      </w:r>
      <w:proofErr w:type="gramEnd"/>
      <w:r w:rsidRPr="003D6605">
        <w:t xml:space="preserve"> </w:t>
      </w:r>
      <w:proofErr w:type="spellStart"/>
      <w:r w:rsidRPr="003D6605">
        <w:t>shRNA</w:t>
      </w:r>
      <w:proofErr w:type="spellEnd"/>
      <w:r w:rsidRPr="003D6605">
        <w:t xml:space="preserve"> plasmids were </w:t>
      </w:r>
      <w:proofErr w:type="spellStart"/>
      <w:r w:rsidRPr="003D6605">
        <w:t>cotransfected</w:t>
      </w:r>
      <w:proofErr w:type="spellEnd"/>
      <w:r w:rsidRPr="003D6605">
        <w:t xml:space="preserve"> with </w:t>
      </w:r>
      <w:proofErr w:type="spellStart"/>
      <w:r w:rsidRPr="003D6605">
        <w:t>pEGFP</w:t>
      </w:r>
      <w:proofErr w:type="spellEnd"/>
      <w:r w:rsidRPr="003D6605">
        <w:t>-F (</w:t>
      </w:r>
      <w:proofErr w:type="spellStart"/>
      <w:r w:rsidRPr="003D6605">
        <w:t>Clontech</w:t>
      </w:r>
      <w:proofErr w:type="spellEnd"/>
      <w:r w:rsidRPr="003D6605">
        <w:t xml:space="preserve">) control vector in order to visualize the </w:t>
      </w:r>
      <w:proofErr w:type="spellStart"/>
      <w:r w:rsidRPr="003D6605">
        <w:t>cotransfected</w:t>
      </w:r>
      <w:proofErr w:type="spellEnd"/>
      <w:r w:rsidRPr="003D6605">
        <w:t xml:space="preserve"> cells. </w:t>
      </w:r>
    </w:p>
    <w:p w:rsidR="00F43555" w:rsidRPr="003D5934" w:rsidRDefault="00F43555" w:rsidP="00645F8F">
      <w:pPr>
        <w:spacing w:before="120" w:after="120" w:line="360" w:lineRule="auto"/>
      </w:pPr>
    </w:p>
    <w:p w:rsidR="00675A00" w:rsidRPr="003D5934" w:rsidRDefault="00675A00" w:rsidP="00645F8F">
      <w:pPr>
        <w:spacing w:before="120" w:after="120" w:line="360" w:lineRule="auto"/>
        <w:rPr>
          <w:b/>
        </w:rPr>
      </w:pPr>
      <w:r w:rsidRPr="003D5934">
        <w:rPr>
          <w:b/>
        </w:rPr>
        <w:t>Preparation of primary neuronal cultures</w:t>
      </w:r>
    </w:p>
    <w:p w:rsidR="00F909C2" w:rsidRPr="003D6605" w:rsidRDefault="00F909C2" w:rsidP="003D5934">
      <w:pPr>
        <w:autoSpaceDE w:val="0"/>
        <w:autoSpaceDN w:val="0"/>
        <w:adjustRightInd w:val="0"/>
        <w:spacing w:line="360" w:lineRule="auto"/>
        <w:rPr>
          <w:lang w:eastAsia="fi-FI"/>
        </w:rPr>
      </w:pPr>
      <w:r w:rsidRPr="003D5934">
        <w:t xml:space="preserve">Preparation of </w:t>
      </w:r>
      <w:proofErr w:type="spellStart"/>
      <w:r w:rsidRPr="003D5934">
        <w:t>hippocampal</w:t>
      </w:r>
      <w:proofErr w:type="spellEnd"/>
      <w:r w:rsidRPr="003D5934">
        <w:t xml:space="preserve"> cultures was done briefly as follows, the </w:t>
      </w:r>
      <w:proofErr w:type="spellStart"/>
      <w:r w:rsidRPr="003D5934">
        <w:t>hippocampi</w:t>
      </w:r>
      <w:proofErr w:type="spellEnd"/>
      <w:r w:rsidRPr="003D5934">
        <w:t xml:space="preserve"> </w:t>
      </w:r>
      <w:r w:rsidR="00A74F71">
        <w:t xml:space="preserve">from E17 </w:t>
      </w:r>
      <w:proofErr w:type="spellStart"/>
      <w:r w:rsidR="00A74F71">
        <w:t>Wistar</w:t>
      </w:r>
      <w:proofErr w:type="spellEnd"/>
      <w:r w:rsidR="00A74F71">
        <w:t xml:space="preserve"> rat embryos </w:t>
      </w:r>
      <w:r w:rsidRPr="003D5934">
        <w:t xml:space="preserve">were dissected, the </w:t>
      </w:r>
      <w:proofErr w:type="spellStart"/>
      <w:r w:rsidRPr="003D5934">
        <w:t>meninges</w:t>
      </w:r>
      <w:proofErr w:type="spellEnd"/>
      <w:r w:rsidRPr="003D5934">
        <w:t xml:space="preserve"> removed and the neurons dissociated in single-cell suspension with </w:t>
      </w:r>
      <w:proofErr w:type="spellStart"/>
      <w:r w:rsidRPr="003D5934">
        <w:t>papain</w:t>
      </w:r>
      <w:proofErr w:type="spellEnd"/>
      <w:r w:rsidRPr="003D5934">
        <w:t xml:space="preserve"> (0.5 mg/ml) digestion and mechanical </w:t>
      </w:r>
      <w:proofErr w:type="spellStart"/>
      <w:r w:rsidRPr="003D5934">
        <w:t>trituration</w:t>
      </w:r>
      <w:proofErr w:type="spellEnd"/>
      <w:r w:rsidRPr="003D5934">
        <w:t xml:space="preserve">. The cells were centrifuged, suspended in DMEM containing </w:t>
      </w:r>
      <w:proofErr w:type="spellStart"/>
      <w:r w:rsidRPr="003D5934">
        <w:t>Glutamax</w:t>
      </w:r>
      <w:proofErr w:type="spellEnd"/>
      <w:r w:rsidRPr="003D5934">
        <w:t xml:space="preserve"> I and supplemented with 10% fetal bovine serum (FBS), </w:t>
      </w:r>
      <w:proofErr w:type="gramStart"/>
      <w:r w:rsidRPr="003D5934">
        <w:t>100 U/ml penicillin</w:t>
      </w:r>
      <w:r w:rsidRPr="003D6605">
        <w:t>,</w:t>
      </w:r>
      <w:proofErr w:type="gramEnd"/>
      <w:r w:rsidRPr="003D6605">
        <w:t xml:space="preserve"> and 100 </w:t>
      </w:r>
      <w:proofErr w:type="spellStart"/>
      <w:r w:rsidRPr="003D6605">
        <w:t>μg</w:t>
      </w:r>
      <w:proofErr w:type="spellEnd"/>
      <w:r w:rsidRPr="003D6605">
        <w:t xml:space="preserve">/ml streptomycin (DMEM medium; </w:t>
      </w:r>
      <w:proofErr w:type="spellStart"/>
      <w:r w:rsidRPr="003D6605">
        <w:t>Gibco</w:t>
      </w:r>
      <w:proofErr w:type="spellEnd"/>
      <w:r w:rsidRPr="003D6605">
        <w:t xml:space="preserve"> BRL). </w:t>
      </w:r>
      <w:proofErr w:type="gramStart"/>
      <w:r w:rsidRPr="003D6605">
        <w:t xml:space="preserve">100000 cells/well on 12-well plates were plated onto glass </w:t>
      </w:r>
      <w:proofErr w:type="spellStart"/>
      <w:r w:rsidRPr="003D6605">
        <w:t>coverslips</w:t>
      </w:r>
      <w:proofErr w:type="spellEnd"/>
      <w:r w:rsidRPr="003D6605">
        <w:t xml:space="preserve"> coated with 0.5 mg/ml poly-L-</w:t>
      </w:r>
      <w:proofErr w:type="spellStart"/>
      <w:r w:rsidRPr="003D6605">
        <w:t>ornithine</w:t>
      </w:r>
      <w:proofErr w:type="spellEnd"/>
      <w:r w:rsidRPr="003D6605">
        <w:t xml:space="preserve"> (Sigma) and 10 mg/ml </w:t>
      </w:r>
      <w:proofErr w:type="spellStart"/>
      <w:r w:rsidRPr="003D6605">
        <w:t>laminin</w:t>
      </w:r>
      <w:proofErr w:type="spellEnd"/>
      <w:r w:rsidRPr="003D6605">
        <w:t xml:space="preserve"> (</w:t>
      </w:r>
      <w:proofErr w:type="spellStart"/>
      <w:r w:rsidRPr="003D6605">
        <w:t>Invitrogen</w:t>
      </w:r>
      <w:proofErr w:type="spellEnd"/>
      <w:r w:rsidRPr="003D6605">
        <w:t>.).</w:t>
      </w:r>
      <w:proofErr w:type="gramEnd"/>
      <w:r w:rsidRPr="003D6605">
        <w:t xml:space="preserve">  The cells were cultured in </w:t>
      </w:r>
      <w:proofErr w:type="spellStart"/>
      <w:r w:rsidRPr="003D6605">
        <w:t>Neurobasal</w:t>
      </w:r>
      <w:proofErr w:type="spellEnd"/>
      <w:r w:rsidRPr="003D6605">
        <w:t xml:space="preserve"> medium (</w:t>
      </w:r>
      <w:proofErr w:type="spellStart"/>
      <w:r w:rsidRPr="003D6605">
        <w:t>Gibco</w:t>
      </w:r>
      <w:proofErr w:type="spellEnd"/>
      <w:r w:rsidRPr="003D6605">
        <w:t>) supplemented with B27 (</w:t>
      </w:r>
      <w:proofErr w:type="spellStart"/>
      <w:r w:rsidRPr="003D6605">
        <w:t>Gibco</w:t>
      </w:r>
      <w:proofErr w:type="spellEnd"/>
      <w:proofErr w:type="gramStart"/>
      <w:r w:rsidRPr="003D6605">
        <w:t>) ,</w:t>
      </w:r>
      <w:proofErr w:type="gramEnd"/>
      <w:r w:rsidRPr="003D6605">
        <w:t xml:space="preserve"> penicillin-streptomycin (</w:t>
      </w:r>
      <w:proofErr w:type="spellStart"/>
      <w:r w:rsidRPr="003D6605">
        <w:t>Euroclone</w:t>
      </w:r>
      <w:proofErr w:type="spellEnd"/>
      <w:r w:rsidRPr="003D6605">
        <w:t>) and L-glutamine (</w:t>
      </w:r>
      <w:proofErr w:type="spellStart"/>
      <w:r w:rsidRPr="003D6605">
        <w:t>Euroclone</w:t>
      </w:r>
      <w:proofErr w:type="spellEnd"/>
      <w:r w:rsidRPr="003D6605">
        <w:t>) at 37 ºC in 5% CO</w:t>
      </w:r>
      <w:r w:rsidRPr="003D6605">
        <w:rPr>
          <w:vertAlign w:val="subscript"/>
        </w:rPr>
        <w:t>2</w:t>
      </w:r>
      <w:r w:rsidRPr="003D6605">
        <w:t>.</w:t>
      </w:r>
    </w:p>
    <w:p w:rsidR="00675A00" w:rsidRDefault="00675A00" w:rsidP="00675A00">
      <w:pPr>
        <w:pStyle w:val="BodyText"/>
        <w:spacing w:before="120" w:after="120" w:line="360" w:lineRule="auto"/>
      </w:pPr>
      <w:r w:rsidRPr="003D6605">
        <w:t xml:space="preserve">Cortical neuron cultures were prepared from the brains of E17 rat fetuses. The forebrain cortices were dissected, the </w:t>
      </w:r>
      <w:proofErr w:type="spellStart"/>
      <w:r w:rsidRPr="003D6605">
        <w:t>meninges</w:t>
      </w:r>
      <w:proofErr w:type="spellEnd"/>
      <w:r w:rsidRPr="003D6605">
        <w:t xml:space="preserve"> removed and the neurons dissociated in single-cell suspension by mechanical </w:t>
      </w:r>
      <w:proofErr w:type="spellStart"/>
      <w:r w:rsidRPr="003D6605">
        <w:t>trituration</w:t>
      </w:r>
      <w:proofErr w:type="spellEnd"/>
      <w:r w:rsidRPr="003D6605">
        <w:t xml:space="preserve"> using a 20 G needle. The cells were centrifuged, </w:t>
      </w:r>
      <w:proofErr w:type="spellStart"/>
      <w:r w:rsidRPr="003D6605">
        <w:t>resuspended</w:t>
      </w:r>
      <w:proofErr w:type="spellEnd"/>
      <w:r w:rsidRPr="003D6605">
        <w:t xml:space="preserve"> in DMEM supplemented with 10% fetal bovine serum (FBS), l-glutamate, </w:t>
      </w:r>
      <w:proofErr w:type="gramStart"/>
      <w:r w:rsidRPr="003D6605">
        <w:t>100 U/ml penicillin,</w:t>
      </w:r>
      <w:proofErr w:type="gramEnd"/>
      <w:r w:rsidRPr="003D6605">
        <w:t xml:space="preserve"> and 100 </w:t>
      </w:r>
      <w:proofErr w:type="spellStart"/>
      <w:r w:rsidRPr="003D6605">
        <w:t>μg</w:t>
      </w:r>
      <w:proofErr w:type="spellEnd"/>
      <w:r w:rsidRPr="003D6605">
        <w:t xml:space="preserve">/ml streptomycin (DMEM medium; </w:t>
      </w:r>
      <w:proofErr w:type="spellStart"/>
      <w:r w:rsidRPr="003D6605">
        <w:t>Gibco</w:t>
      </w:r>
      <w:proofErr w:type="spellEnd"/>
      <w:r w:rsidRPr="003D6605">
        <w:t xml:space="preserve"> BRL). Cells were </w:t>
      </w:r>
      <w:proofErr w:type="spellStart"/>
      <w:r w:rsidRPr="003D6605">
        <w:t>plated</w:t>
      </w:r>
      <w:proofErr w:type="spellEnd"/>
      <w:r w:rsidRPr="003D6605">
        <w:t xml:space="preserve"> on 10 cm bacterial plates for 30 min and then carefully recollected and centrifuged. The cell pellets were then </w:t>
      </w:r>
      <w:proofErr w:type="spellStart"/>
      <w:r w:rsidRPr="003D6605">
        <w:t>resuspended</w:t>
      </w:r>
      <w:proofErr w:type="spellEnd"/>
      <w:r w:rsidRPr="003D6605">
        <w:t xml:space="preserve"> in </w:t>
      </w:r>
      <w:proofErr w:type="spellStart"/>
      <w:r w:rsidRPr="003D6605">
        <w:t>Neurobasal</w:t>
      </w:r>
      <w:proofErr w:type="spellEnd"/>
      <w:r w:rsidRPr="003D6605">
        <w:t xml:space="preserve"> medium. 600000 cells/well were </w:t>
      </w:r>
      <w:proofErr w:type="spellStart"/>
      <w:r w:rsidRPr="003D6605">
        <w:t>plated</w:t>
      </w:r>
      <w:proofErr w:type="spellEnd"/>
      <w:r w:rsidRPr="003D6605">
        <w:t xml:space="preserve"> on 24-well plates coated with 0,001% poly-L-lysine (Sigma). Cells were cultured in </w:t>
      </w:r>
      <w:proofErr w:type="spellStart"/>
      <w:r w:rsidRPr="003D6605">
        <w:t>Neurobasal</w:t>
      </w:r>
      <w:proofErr w:type="spellEnd"/>
      <w:r w:rsidRPr="003D6605">
        <w:t xml:space="preserve"> medium (</w:t>
      </w:r>
      <w:proofErr w:type="spellStart"/>
      <w:r w:rsidRPr="003D6605">
        <w:t>Gibco</w:t>
      </w:r>
      <w:proofErr w:type="spellEnd"/>
      <w:r w:rsidRPr="003D6605">
        <w:t>) supplemented with B27 (</w:t>
      </w:r>
      <w:proofErr w:type="spellStart"/>
      <w:r w:rsidRPr="003D6605">
        <w:t>Gibco</w:t>
      </w:r>
      <w:proofErr w:type="spellEnd"/>
      <w:r w:rsidRPr="003D6605">
        <w:t>), penicillin-streptomycin (</w:t>
      </w:r>
      <w:proofErr w:type="spellStart"/>
      <w:r w:rsidRPr="003D6605">
        <w:t>Euroclone</w:t>
      </w:r>
      <w:proofErr w:type="spellEnd"/>
      <w:r w:rsidRPr="003D6605">
        <w:t>) and L-glutamine (</w:t>
      </w:r>
      <w:proofErr w:type="spellStart"/>
      <w:r w:rsidRPr="003D6605">
        <w:t>Euroclone</w:t>
      </w:r>
      <w:proofErr w:type="spellEnd"/>
      <w:r w:rsidRPr="003D6605">
        <w:t>) at 37 ºC in 5% CO</w:t>
      </w:r>
      <w:r w:rsidRPr="003D6605">
        <w:rPr>
          <w:vertAlign w:val="subscript"/>
        </w:rPr>
        <w:t>2</w:t>
      </w:r>
      <w:r w:rsidRPr="003D6605">
        <w:t>.</w:t>
      </w:r>
    </w:p>
    <w:p w:rsidR="00F43555" w:rsidRPr="003D6605" w:rsidRDefault="00F43555" w:rsidP="00675A00">
      <w:pPr>
        <w:pStyle w:val="BodyText"/>
        <w:spacing w:before="120" w:after="120" w:line="360" w:lineRule="auto"/>
      </w:pPr>
      <w:r>
        <w:br w:type="page"/>
      </w:r>
    </w:p>
    <w:p w:rsidR="00675A00" w:rsidRDefault="00F909C2" w:rsidP="00645F8F">
      <w:pPr>
        <w:spacing w:before="120" w:after="120" w:line="360" w:lineRule="auto"/>
        <w:rPr>
          <w:b/>
        </w:rPr>
      </w:pPr>
      <w:r w:rsidRPr="00F909C2">
        <w:rPr>
          <w:b/>
        </w:rPr>
        <w:lastRenderedPageBreak/>
        <w:t>Cell line cultures</w:t>
      </w:r>
    </w:p>
    <w:p w:rsidR="005F7746" w:rsidRDefault="005F7746" w:rsidP="00645F8F">
      <w:pPr>
        <w:spacing w:before="120" w:after="120" w:line="360" w:lineRule="auto"/>
      </w:pPr>
      <w:r w:rsidRPr="003D6605">
        <w:t>Mouse fibroblast cell line NIH</w:t>
      </w:r>
      <w:r w:rsidR="009F05F7">
        <w:t>/</w:t>
      </w:r>
      <w:r w:rsidRPr="003D6605">
        <w:t xml:space="preserve">3T3 or </w:t>
      </w:r>
      <w:r w:rsidR="0014218B">
        <w:t>A</w:t>
      </w:r>
      <w:r w:rsidRPr="003D6605">
        <w:t xml:space="preserve">frican green monkey kidney cell line COS-7 were grown on glass </w:t>
      </w:r>
      <w:proofErr w:type="spellStart"/>
      <w:r w:rsidRPr="003D6605">
        <w:t>coverslips</w:t>
      </w:r>
      <w:proofErr w:type="spellEnd"/>
      <w:r w:rsidRPr="003D6605">
        <w:t xml:space="preserve"> on 24 well plates in DMEM medium containing </w:t>
      </w:r>
      <w:proofErr w:type="spellStart"/>
      <w:r w:rsidRPr="003D6605">
        <w:t>Glutamax</w:t>
      </w:r>
      <w:proofErr w:type="spellEnd"/>
      <w:r w:rsidRPr="003D6605">
        <w:t xml:space="preserve"> I and supplemented with 10% fetal bovine serum, 100 U/ml penicillin, and 100 </w:t>
      </w:r>
      <w:proofErr w:type="spellStart"/>
      <w:r w:rsidRPr="003D6605">
        <w:t>μg</w:t>
      </w:r>
      <w:proofErr w:type="spellEnd"/>
      <w:r w:rsidRPr="003D6605">
        <w:t xml:space="preserve">/ml streptomycin. </w:t>
      </w:r>
    </w:p>
    <w:p w:rsidR="005F7746" w:rsidRPr="003D6605" w:rsidRDefault="005F7746" w:rsidP="005F7746">
      <w:pPr>
        <w:spacing w:before="120" w:after="120" w:line="360" w:lineRule="auto"/>
      </w:pPr>
      <w:r w:rsidRPr="003D6605">
        <w:t xml:space="preserve">For the microtubule </w:t>
      </w:r>
      <w:proofErr w:type="spellStart"/>
      <w:r w:rsidRPr="003D6605">
        <w:t>pelleting</w:t>
      </w:r>
      <w:proofErr w:type="spellEnd"/>
      <w:r w:rsidRPr="003D6605">
        <w:t xml:space="preserve"> assays, NIH</w:t>
      </w:r>
      <w:r w:rsidR="009F05F7">
        <w:t>/</w:t>
      </w:r>
      <w:r w:rsidRPr="003D6605">
        <w:t>3T3 cells were grown on culture dishes (10cm in diameter</w:t>
      </w:r>
      <w:r>
        <w:t>).</w:t>
      </w:r>
      <w:r w:rsidRPr="003D6605">
        <w:t xml:space="preserve"> </w:t>
      </w:r>
    </w:p>
    <w:p w:rsidR="005F7746" w:rsidRPr="00F909C2" w:rsidRDefault="005F7746" w:rsidP="00645F8F">
      <w:pPr>
        <w:spacing w:before="120" w:after="120" w:line="360" w:lineRule="auto"/>
        <w:rPr>
          <w:b/>
        </w:rPr>
      </w:pPr>
    </w:p>
    <w:p w:rsidR="00F909C2" w:rsidRDefault="00F909C2" w:rsidP="00645F8F">
      <w:pPr>
        <w:spacing w:before="120" w:after="120" w:line="360" w:lineRule="auto"/>
        <w:rPr>
          <w:b/>
        </w:rPr>
      </w:pPr>
      <w:proofErr w:type="spellStart"/>
      <w:r>
        <w:rPr>
          <w:b/>
        </w:rPr>
        <w:t>Transfections</w:t>
      </w:r>
      <w:proofErr w:type="spellEnd"/>
      <w:r>
        <w:rPr>
          <w:b/>
        </w:rPr>
        <w:t xml:space="preserve"> of cell line cultures and primary neuronal cultures</w:t>
      </w:r>
    </w:p>
    <w:p w:rsidR="00E23682" w:rsidRDefault="00E23682" w:rsidP="00645F8F">
      <w:pPr>
        <w:spacing w:before="120" w:after="120" w:line="360" w:lineRule="auto"/>
      </w:pPr>
      <w:proofErr w:type="spellStart"/>
      <w:r>
        <w:t>Transfections</w:t>
      </w:r>
      <w:proofErr w:type="spellEnd"/>
      <w:r>
        <w:t xml:space="preserve"> of </w:t>
      </w:r>
      <w:proofErr w:type="spellStart"/>
      <w:r>
        <w:t>hippocampal</w:t>
      </w:r>
      <w:proofErr w:type="spellEnd"/>
      <w:r>
        <w:t xml:space="preserve"> neuronal cultures for </w:t>
      </w:r>
      <w:proofErr w:type="spellStart"/>
      <w:r>
        <w:t>immunocytochemical</w:t>
      </w:r>
      <w:proofErr w:type="spellEnd"/>
      <w:r w:rsidR="0014218B">
        <w:t xml:space="preserve"> </w:t>
      </w:r>
      <w:proofErr w:type="spellStart"/>
      <w:r>
        <w:t>stainings</w:t>
      </w:r>
      <w:proofErr w:type="spellEnd"/>
      <w:r>
        <w:t xml:space="preserve"> were done according to manufacturers protocol with the following details </w:t>
      </w:r>
      <w:proofErr w:type="spellStart"/>
      <w:r w:rsidRPr="003D6605">
        <w:t>Lipofectamine</w:t>
      </w:r>
      <w:proofErr w:type="spellEnd"/>
      <w:r w:rsidRPr="003D6605">
        <w:t xml:space="preserve"> (4 µl) and a total of 2 µg of DNA/well were used. In </w:t>
      </w:r>
      <w:proofErr w:type="spellStart"/>
      <w:r w:rsidRPr="003D6605">
        <w:t>cotransfection</w:t>
      </w:r>
      <w:proofErr w:type="spellEnd"/>
      <w:r w:rsidRPr="003D6605">
        <w:t xml:space="preserve"> experiments an equal amount of constructs</w:t>
      </w:r>
      <w:r>
        <w:t xml:space="preserve"> </w:t>
      </w:r>
      <w:r w:rsidRPr="003D6605">
        <w:t xml:space="preserve">was used. 30 min before </w:t>
      </w:r>
      <w:proofErr w:type="spellStart"/>
      <w:r w:rsidRPr="003D6605">
        <w:t>transfection</w:t>
      </w:r>
      <w:proofErr w:type="spellEnd"/>
      <w:r w:rsidRPr="003D6605">
        <w:t xml:space="preserve"> the medium was changed to antibiotics free medium and 6 h after </w:t>
      </w:r>
      <w:proofErr w:type="spellStart"/>
      <w:r w:rsidRPr="003D6605">
        <w:t>transfection</w:t>
      </w:r>
      <w:proofErr w:type="spellEnd"/>
      <w:r w:rsidRPr="003D6605">
        <w:t xml:space="preserve"> the medium was changed back to conditioned medium.</w:t>
      </w:r>
    </w:p>
    <w:p w:rsidR="00F43555" w:rsidRDefault="00F43555" w:rsidP="006E7C94">
      <w:pPr>
        <w:spacing w:before="120" w:after="120" w:line="360" w:lineRule="auto"/>
      </w:pPr>
    </w:p>
    <w:p w:rsidR="006E7C94" w:rsidRDefault="006E7C94" w:rsidP="006E7C94">
      <w:pPr>
        <w:spacing w:before="120" w:after="120" w:line="360" w:lineRule="auto"/>
      </w:pPr>
      <w:r w:rsidRPr="003D6605">
        <w:t xml:space="preserve">The </w:t>
      </w:r>
      <w:proofErr w:type="spellStart"/>
      <w:r w:rsidRPr="003D6605">
        <w:t>transfection</w:t>
      </w:r>
      <w:proofErr w:type="spellEnd"/>
      <w:r w:rsidRPr="003D6605">
        <w:t xml:space="preserve"> </w:t>
      </w:r>
      <w:r>
        <w:t xml:space="preserve">of cortical cells for </w:t>
      </w:r>
      <w:proofErr w:type="spellStart"/>
      <w:r>
        <w:t>luciferase</w:t>
      </w:r>
      <w:proofErr w:type="spellEnd"/>
      <w:r>
        <w:t xml:space="preserve"> assays </w:t>
      </w:r>
      <w:r w:rsidRPr="003D6605">
        <w:t xml:space="preserve">was done as for the </w:t>
      </w:r>
      <w:proofErr w:type="spellStart"/>
      <w:r w:rsidRPr="003D6605">
        <w:t>hippocampal</w:t>
      </w:r>
      <w:proofErr w:type="spellEnd"/>
      <w:r w:rsidRPr="003D6605">
        <w:t xml:space="preserve"> neurons except that the amount of </w:t>
      </w:r>
      <w:proofErr w:type="spellStart"/>
      <w:r w:rsidRPr="003D6605">
        <w:t>lipofectamine</w:t>
      </w:r>
      <w:proofErr w:type="spellEnd"/>
      <w:r w:rsidRPr="003D6605">
        <w:t xml:space="preserve"> and DNA was double compared to the </w:t>
      </w:r>
      <w:proofErr w:type="gramStart"/>
      <w:r w:rsidRPr="003D6605">
        <w:t>manufacturers</w:t>
      </w:r>
      <w:proofErr w:type="gramEnd"/>
      <w:r w:rsidRPr="003D6605">
        <w:t xml:space="preserve"> protocol (4 µl </w:t>
      </w:r>
      <w:proofErr w:type="spellStart"/>
      <w:r w:rsidRPr="003D6605">
        <w:t>lipofectamine</w:t>
      </w:r>
      <w:proofErr w:type="spellEnd"/>
      <w:r w:rsidRPr="003D6605">
        <w:t xml:space="preserve"> and 2 µg total DNA/24-well).  The cells were </w:t>
      </w:r>
      <w:proofErr w:type="spellStart"/>
      <w:r w:rsidRPr="003D6605">
        <w:t>transfected</w:t>
      </w:r>
      <w:proofErr w:type="spellEnd"/>
      <w:r w:rsidRPr="003D6605">
        <w:t xml:space="preserve"> with the respective plasmid constructs, a </w:t>
      </w:r>
      <w:proofErr w:type="spellStart"/>
      <w:r w:rsidRPr="003D6605">
        <w:t>TOPflash</w:t>
      </w:r>
      <w:proofErr w:type="spellEnd"/>
      <w:r w:rsidRPr="003D6605">
        <w:t xml:space="preserve"> firefly </w:t>
      </w:r>
      <w:proofErr w:type="spellStart"/>
      <w:r w:rsidRPr="003D6605">
        <w:t>luciferase</w:t>
      </w:r>
      <w:proofErr w:type="spellEnd"/>
      <w:r w:rsidRPr="003D6605">
        <w:t xml:space="preserve"> construct for measuring </w:t>
      </w:r>
      <w:proofErr w:type="spellStart"/>
      <w:r w:rsidRPr="003D6605">
        <w:t>Wnt</w:t>
      </w:r>
      <w:proofErr w:type="spellEnd"/>
      <w:r w:rsidRPr="003D6605">
        <w:t xml:space="preserve"> signaling or </w:t>
      </w:r>
      <w:proofErr w:type="spellStart"/>
      <w:r w:rsidRPr="003D6605">
        <w:t>Gli</w:t>
      </w:r>
      <w:proofErr w:type="spellEnd"/>
      <w:r w:rsidRPr="003D6605">
        <w:t xml:space="preserve"> firefly </w:t>
      </w:r>
      <w:proofErr w:type="spellStart"/>
      <w:r w:rsidRPr="003D6605">
        <w:t>luciferase</w:t>
      </w:r>
      <w:proofErr w:type="spellEnd"/>
      <w:r w:rsidRPr="003D6605">
        <w:t xml:space="preserve"> construct for measuring </w:t>
      </w:r>
      <w:proofErr w:type="spellStart"/>
      <w:r w:rsidRPr="003D6605">
        <w:t>Shh</w:t>
      </w:r>
      <w:proofErr w:type="spellEnd"/>
      <w:r w:rsidRPr="003D6605">
        <w:t xml:space="preserve"> signaling and a constitutively active </w:t>
      </w:r>
      <w:proofErr w:type="spellStart"/>
      <w:r w:rsidRPr="003D6605">
        <w:t>renilla</w:t>
      </w:r>
      <w:proofErr w:type="spellEnd"/>
      <w:r w:rsidRPr="003D6605">
        <w:t xml:space="preserve"> </w:t>
      </w:r>
      <w:proofErr w:type="spellStart"/>
      <w:r w:rsidRPr="003D6605">
        <w:t>luciferase</w:t>
      </w:r>
      <w:proofErr w:type="spellEnd"/>
      <w:r w:rsidRPr="003D6605">
        <w:t xml:space="preserve"> construct (</w:t>
      </w:r>
      <w:proofErr w:type="spellStart"/>
      <w:r w:rsidRPr="003D6605">
        <w:t>Promega</w:t>
      </w:r>
      <w:proofErr w:type="spellEnd"/>
      <w:r w:rsidRPr="003D6605">
        <w:t xml:space="preserve">) for normalization of </w:t>
      </w:r>
      <w:proofErr w:type="spellStart"/>
      <w:r w:rsidRPr="003D6605">
        <w:t>transfection</w:t>
      </w:r>
      <w:proofErr w:type="spellEnd"/>
      <w:r w:rsidRPr="003D6605">
        <w:t xml:space="preserve"> efficiency. The </w:t>
      </w:r>
      <w:proofErr w:type="spellStart"/>
      <w:r w:rsidRPr="003D6605">
        <w:t>TOPflash</w:t>
      </w:r>
      <w:proofErr w:type="spellEnd"/>
      <w:r w:rsidRPr="003D6605">
        <w:t xml:space="preserve"> firefly </w:t>
      </w:r>
      <w:proofErr w:type="spellStart"/>
      <w:r w:rsidRPr="003D6605">
        <w:t>luciferase</w:t>
      </w:r>
      <w:proofErr w:type="spellEnd"/>
      <w:r w:rsidRPr="003D6605">
        <w:t xml:space="preserve"> construct contains 3 TCF binding sites and was kindly provided by Doctor </w:t>
      </w:r>
      <w:proofErr w:type="spellStart"/>
      <w:r w:rsidRPr="003D6605">
        <w:t>Seppo</w:t>
      </w:r>
      <w:proofErr w:type="spellEnd"/>
      <w:r w:rsidRPr="003D6605">
        <w:t xml:space="preserve"> </w:t>
      </w:r>
      <w:proofErr w:type="spellStart"/>
      <w:r w:rsidRPr="003D6605">
        <w:t>Vainio</w:t>
      </w:r>
      <w:proofErr w:type="spellEnd"/>
      <w:r w:rsidRPr="003D6605">
        <w:t xml:space="preserve">. The </w:t>
      </w:r>
      <w:proofErr w:type="spellStart"/>
      <w:r w:rsidRPr="003D6605">
        <w:t>Gli</w:t>
      </w:r>
      <w:proofErr w:type="spellEnd"/>
      <w:r w:rsidRPr="003D6605">
        <w:t xml:space="preserve"> firefly </w:t>
      </w:r>
      <w:proofErr w:type="spellStart"/>
      <w:r w:rsidRPr="003D6605">
        <w:t>luciferase</w:t>
      </w:r>
      <w:proofErr w:type="spellEnd"/>
      <w:r w:rsidRPr="003D6605">
        <w:t xml:space="preserve"> construct contains 8 Gli3 binding sites and was kindly provided by Dr </w:t>
      </w:r>
      <w:proofErr w:type="spellStart"/>
      <w:r w:rsidRPr="003D6605">
        <w:t>Jussi</w:t>
      </w:r>
      <w:proofErr w:type="spellEnd"/>
      <w:r w:rsidRPr="003D6605">
        <w:t xml:space="preserve"> </w:t>
      </w:r>
      <w:proofErr w:type="spellStart"/>
      <w:r w:rsidRPr="003D6605">
        <w:t>Taipale</w:t>
      </w:r>
      <w:proofErr w:type="spellEnd"/>
      <w:r w:rsidRPr="003D6605">
        <w:t xml:space="preserve">. For </w:t>
      </w:r>
      <w:proofErr w:type="spellStart"/>
      <w:r w:rsidRPr="003D6605">
        <w:t>cotransfections</w:t>
      </w:r>
      <w:proofErr w:type="spellEnd"/>
      <w:r w:rsidRPr="003D6605">
        <w:t xml:space="preserve"> of the different constructs, a ratio of 4:4:1 (respective plasmid: </w:t>
      </w:r>
      <w:proofErr w:type="spellStart"/>
      <w:r w:rsidRPr="003D6605">
        <w:t>TOPflash</w:t>
      </w:r>
      <w:proofErr w:type="spellEnd"/>
      <w:r w:rsidRPr="003D6605">
        <w:t>/</w:t>
      </w:r>
      <w:proofErr w:type="spellStart"/>
      <w:r w:rsidRPr="003D6605">
        <w:t>Gli-luciferase</w:t>
      </w:r>
      <w:proofErr w:type="gramStart"/>
      <w:r w:rsidRPr="003D6605">
        <w:t>:renilla</w:t>
      </w:r>
      <w:proofErr w:type="spellEnd"/>
      <w:proofErr w:type="gramEnd"/>
      <w:r w:rsidRPr="003D6605">
        <w:t xml:space="preserve"> </w:t>
      </w:r>
      <w:proofErr w:type="spellStart"/>
      <w:r w:rsidRPr="003D6605">
        <w:t>luciferase</w:t>
      </w:r>
      <w:proofErr w:type="spellEnd"/>
      <w:r w:rsidRPr="003D6605">
        <w:t>) was used.</w:t>
      </w:r>
    </w:p>
    <w:p w:rsidR="006E7C94" w:rsidRDefault="006E7C94" w:rsidP="00645F8F">
      <w:pPr>
        <w:spacing w:before="120" w:after="120" w:line="360" w:lineRule="auto"/>
      </w:pPr>
    </w:p>
    <w:p w:rsidR="005F7746" w:rsidRDefault="005F7746" w:rsidP="005F7746">
      <w:pPr>
        <w:spacing w:before="120" w:after="120" w:line="360" w:lineRule="auto"/>
      </w:pPr>
      <w:r w:rsidRPr="003D6605">
        <w:t xml:space="preserve">For the </w:t>
      </w:r>
      <w:proofErr w:type="spellStart"/>
      <w:r w:rsidRPr="003D6605">
        <w:t>immunocytochemical</w:t>
      </w:r>
      <w:proofErr w:type="spellEnd"/>
      <w:r w:rsidRPr="003D6605">
        <w:t xml:space="preserve"> </w:t>
      </w:r>
      <w:r w:rsidR="0014218B">
        <w:t>staining of NIH</w:t>
      </w:r>
      <w:r w:rsidR="009F05F7">
        <w:t>/</w:t>
      </w:r>
      <w:r w:rsidR="0014218B">
        <w:t>3T3 or COS-7 cells</w:t>
      </w:r>
      <w:r w:rsidRPr="003D6605">
        <w:t xml:space="preserve">, </w:t>
      </w:r>
      <w:proofErr w:type="spellStart"/>
      <w:r w:rsidRPr="003D6605">
        <w:t>transfections</w:t>
      </w:r>
      <w:proofErr w:type="spellEnd"/>
      <w:r w:rsidRPr="003D6605">
        <w:t xml:space="preserve"> </w:t>
      </w:r>
      <w:r>
        <w:t xml:space="preserve">of the expression constructs </w:t>
      </w:r>
      <w:r w:rsidRPr="003D6605">
        <w:t xml:space="preserve">were carried out with </w:t>
      </w:r>
      <w:proofErr w:type="spellStart"/>
      <w:r w:rsidRPr="003D6605">
        <w:t>FuGENE</w:t>
      </w:r>
      <w:proofErr w:type="spellEnd"/>
      <w:r w:rsidRPr="003D6605">
        <w:t xml:space="preserve"> 6 </w:t>
      </w:r>
      <w:proofErr w:type="spellStart"/>
      <w:r w:rsidRPr="003D6605">
        <w:t>transfection</w:t>
      </w:r>
      <w:proofErr w:type="spellEnd"/>
      <w:r w:rsidRPr="003D6605">
        <w:t xml:space="preserve"> reagent (Roche Applied Science) according to the manufacturer’s instructions</w:t>
      </w:r>
      <w:r>
        <w:t xml:space="preserve"> for details see above</w:t>
      </w:r>
      <w:r w:rsidRPr="003D6605">
        <w:t xml:space="preserve">. A total of 500 </w:t>
      </w:r>
      <w:proofErr w:type="spellStart"/>
      <w:r w:rsidRPr="003D6605">
        <w:t>ng</w:t>
      </w:r>
      <w:proofErr w:type="spellEnd"/>
      <w:r w:rsidRPr="003D6605">
        <w:t xml:space="preserve"> of DNA and 1</w:t>
      </w:r>
      <w:proofErr w:type="gramStart"/>
      <w:r w:rsidRPr="003D6605">
        <w:t>,5</w:t>
      </w:r>
      <w:proofErr w:type="gramEnd"/>
      <w:r w:rsidRPr="003D6605">
        <w:t xml:space="preserve"> µl of </w:t>
      </w:r>
      <w:proofErr w:type="spellStart"/>
      <w:r w:rsidRPr="003D6605">
        <w:t>transfection</w:t>
      </w:r>
      <w:proofErr w:type="spellEnd"/>
      <w:r w:rsidRPr="003D6605">
        <w:t xml:space="preserve"> reagent per well was used. For NIH</w:t>
      </w:r>
      <w:r w:rsidR="009F05F7">
        <w:t>/</w:t>
      </w:r>
      <w:r w:rsidRPr="003D6605">
        <w:t xml:space="preserve">3T3 cells, 5 h after </w:t>
      </w:r>
      <w:proofErr w:type="spellStart"/>
      <w:r w:rsidRPr="003D6605">
        <w:t>transfection</w:t>
      </w:r>
      <w:proofErr w:type="spellEnd"/>
      <w:r w:rsidRPr="003D6605">
        <w:t xml:space="preserve"> the medium was changed to serum free medium.</w:t>
      </w:r>
    </w:p>
    <w:p w:rsidR="005F7746" w:rsidRDefault="005F7746" w:rsidP="005F7746">
      <w:pPr>
        <w:spacing w:before="120" w:after="120" w:line="360" w:lineRule="auto"/>
      </w:pPr>
      <w:r w:rsidRPr="003D6605">
        <w:lastRenderedPageBreak/>
        <w:t xml:space="preserve">For the microtubule </w:t>
      </w:r>
      <w:proofErr w:type="spellStart"/>
      <w:r w:rsidRPr="003D6605">
        <w:t>pelleting</w:t>
      </w:r>
      <w:proofErr w:type="spellEnd"/>
      <w:r w:rsidRPr="003D6605">
        <w:t xml:space="preserve"> assays, NIH</w:t>
      </w:r>
      <w:r w:rsidR="009F05F7">
        <w:t>/</w:t>
      </w:r>
      <w:r w:rsidRPr="003D6605">
        <w:t xml:space="preserve">3T3 cells were </w:t>
      </w:r>
      <w:proofErr w:type="spellStart"/>
      <w:r w:rsidRPr="003D6605">
        <w:t>transfected</w:t>
      </w:r>
      <w:proofErr w:type="spellEnd"/>
      <w:r w:rsidRPr="003D6605">
        <w:t xml:space="preserve"> with </w:t>
      </w:r>
      <w:proofErr w:type="spellStart"/>
      <w:r w:rsidRPr="003D6605">
        <w:t>Lipofectamine</w:t>
      </w:r>
      <w:proofErr w:type="spellEnd"/>
      <w:r w:rsidRPr="003D6605">
        <w:t xml:space="preserve"> (</w:t>
      </w:r>
      <w:proofErr w:type="spellStart"/>
      <w:r w:rsidRPr="003D6605">
        <w:t>Invirtogen</w:t>
      </w:r>
      <w:proofErr w:type="spellEnd"/>
      <w:r w:rsidRPr="003D6605">
        <w:t xml:space="preserve">) according to the manufacturer’s instructions using 8µg of plasmid DNA and 100µl of </w:t>
      </w:r>
      <w:proofErr w:type="spellStart"/>
      <w:r w:rsidRPr="003D6605">
        <w:t>Lipofectamine</w:t>
      </w:r>
      <w:proofErr w:type="spellEnd"/>
      <w:r w:rsidRPr="003D6605">
        <w:t xml:space="preserve"> per dish. </w:t>
      </w:r>
    </w:p>
    <w:p w:rsidR="00724B65" w:rsidRPr="003D6605" w:rsidRDefault="00724B65" w:rsidP="005F7746">
      <w:pPr>
        <w:spacing w:before="120" w:after="120" w:line="360" w:lineRule="auto"/>
      </w:pPr>
    </w:p>
    <w:p w:rsidR="005F7746" w:rsidRPr="00724B65" w:rsidRDefault="00995829" w:rsidP="005F7746">
      <w:pPr>
        <w:spacing w:before="120" w:after="120" w:line="360" w:lineRule="auto"/>
        <w:rPr>
          <w:b/>
        </w:rPr>
      </w:pPr>
      <w:proofErr w:type="spellStart"/>
      <w:r w:rsidRPr="00724B65">
        <w:rPr>
          <w:b/>
        </w:rPr>
        <w:t>Immunocytochemical</w:t>
      </w:r>
      <w:proofErr w:type="spellEnd"/>
      <w:r w:rsidRPr="00724B65">
        <w:rPr>
          <w:b/>
        </w:rPr>
        <w:t xml:space="preserve"> </w:t>
      </w:r>
      <w:proofErr w:type="spellStart"/>
      <w:r w:rsidRPr="00724B65">
        <w:rPr>
          <w:b/>
        </w:rPr>
        <w:t>staining</w:t>
      </w:r>
      <w:r w:rsidR="00724B65" w:rsidRPr="00724B65">
        <w:rPr>
          <w:b/>
        </w:rPr>
        <w:t>s</w:t>
      </w:r>
      <w:proofErr w:type="spellEnd"/>
    </w:p>
    <w:p w:rsidR="005F7746" w:rsidRDefault="00995829" w:rsidP="00645F8F">
      <w:pPr>
        <w:spacing w:before="120" w:after="120" w:line="360" w:lineRule="auto"/>
        <w:rPr>
          <w:b/>
        </w:rPr>
      </w:pPr>
      <w:r>
        <w:t xml:space="preserve">Cells were </w:t>
      </w:r>
      <w:proofErr w:type="spellStart"/>
      <w:r>
        <w:t>permeabilized</w:t>
      </w:r>
      <w:proofErr w:type="spellEnd"/>
      <w:r>
        <w:t xml:space="preserve"> </w:t>
      </w:r>
      <w:r w:rsidRPr="003D6605">
        <w:t>with 0</w:t>
      </w:r>
      <w:proofErr w:type="gramStart"/>
      <w:r w:rsidRPr="003D6605">
        <w:t>,1</w:t>
      </w:r>
      <w:proofErr w:type="gramEnd"/>
      <w:r w:rsidRPr="003D6605">
        <w:t>% Triton X-100 in PBS (for NIH</w:t>
      </w:r>
      <w:r w:rsidR="009F05F7">
        <w:t>/</w:t>
      </w:r>
      <w:r w:rsidRPr="003D6605">
        <w:t xml:space="preserve">3T3 cells and COS-7 cells) or with ice-cold methanol (for neuronal cells). The cells were incubated </w:t>
      </w:r>
      <w:proofErr w:type="gramStart"/>
      <w:r w:rsidRPr="003D6605">
        <w:t>first in 3% bovine serum albumin (BSA) in PBS for 30 min to block unspecific binding of the antibodies</w:t>
      </w:r>
      <w:proofErr w:type="gramEnd"/>
      <w:r w:rsidRPr="003D6605">
        <w:t>. Subsequently the cells were incubated with primary antibodies</w:t>
      </w:r>
      <w:r>
        <w:t xml:space="preserve"> </w:t>
      </w:r>
      <w:r w:rsidRPr="003D6605">
        <w:t>for 45 min followed by three washing steps with PBS and sta</w:t>
      </w:r>
      <w:r>
        <w:t xml:space="preserve">ining with secondary antibodies </w:t>
      </w:r>
      <w:r w:rsidRPr="003D6605">
        <w:t>for 45 min. Finally the nuclei were stained with 4’</w:t>
      </w:r>
      <w:proofErr w:type="gramStart"/>
      <w:r w:rsidRPr="003D6605">
        <w:t>,6</w:t>
      </w:r>
      <w:proofErr w:type="gramEnd"/>
      <w:r w:rsidRPr="003D6605">
        <w:t xml:space="preserve">-diamino-2-phenylindole (DAPI, Sigma-Aldrich) and the cells were mounted on glass slides with </w:t>
      </w:r>
      <w:proofErr w:type="spellStart"/>
      <w:r w:rsidRPr="003D6605">
        <w:t>ProLong</w:t>
      </w:r>
      <w:proofErr w:type="spellEnd"/>
      <w:r w:rsidRPr="003D6605">
        <w:t xml:space="preserve"> Gold </w:t>
      </w:r>
      <w:proofErr w:type="spellStart"/>
      <w:r w:rsidRPr="003D6605">
        <w:t>antifade</w:t>
      </w:r>
      <w:proofErr w:type="spellEnd"/>
      <w:r w:rsidRPr="003D6605">
        <w:t xml:space="preserve"> reagent (</w:t>
      </w:r>
      <w:proofErr w:type="spellStart"/>
      <w:r w:rsidRPr="003D6605">
        <w:t>Invitrogen</w:t>
      </w:r>
      <w:proofErr w:type="spellEnd"/>
      <w:r w:rsidRPr="003D6605">
        <w:t xml:space="preserve">). </w:t>
      </w:r>
    </w:p>
    <w:p w:rsidR="00F43555" w:rsidRDefault="00F43555" w:rsidP="00645F8F">
      <w:pPr>
        <w:spacing w:before="120" w:after="120" w:line="360" w:lineRule="auto"/>
        <w:rPr>
          <w:b/>
        </w:rPr>
      </w:pPr>
    </w:p>
    <w:p w:rsidR="00645F8F" w:rsidRPr="00645F8F" w:rsidRDefault="00645F8F" w:rsidP="00645F8F">
      <w:pPr>
        <w:spacing w:before="120" w:after="120" w:line="360" w:lineRule="auto"/>
        <w:rPr>
          <w:b/>
        </w:rPr>
      </w:pPr>
      <w:r w:rsidRPr="00645F8F">
        <w:rPr>
          <w:b/>
        </w:rPr>
        <w:t>Antibodies used in this study</w:t>
      </w:r>
    </w:p>
    <w:p w:rsidR="00645F8F" w:rsidRPr="003D6605" w:rsidRDefault="00645F8F" w:rsidP="00645F8F">
      <w:pPr>
        <w:spacing w:before="120" w:after="120" w:line="360" w:lineRule="auto"/>
      </w:pPr>
      <w:r w:rsidRPr="003D6605">
        <w:t>The primary antibodies used in this study were anti-Ac3 produced in rabbit (</w:t>
      </w:r>
      <w:proofErr w:type="spellStart"/>
      <w:r w:rsidRPr="003D6605">
        <w:t>Adenylyl</w:t>
      </w:r>
      <w:proofErr w:type="spellEnd"/>
      <w:r w:rsidRPr="003D6605">
        <w:t xml:space="preserve"> </w:t>
      </w:r>
      <w:proofErr w:type="spellStart"/>
      <w:r w:rsidRPr="003D6605">
        <w:t>cyclase</w:t>
      </w:r>
      <w:proofErr w:type="spellEnd"/>
      <w:r w:rsidRPr="003D6605">
        <w:t xml:space="preserve"> III) (sc-588, Santa Cruz Biotechnology), anti-V5 produced in rabbit (NB-600-381, Novus </w:t>
      </w:r>
      <w:proofErr w:type="spellStart"/>
      <w:r w:rsidRPr="003D6605">
        <w:t>Biologicals</w:t>
      </w:r>
      <w:proofErr w:type="spellEnd"/>
      <w:r w:rsidRPr="003D6605">
        <w:t xml:space="preserve">), anti-V5 produced in mouse (R960, </w:t>
      </w:r>
      <w:proofErr w:type="spellStart"/>
      <w:r w:rsidRPr="003D6605">
        <w:t>Invitrogen</w:t>
      </w:r>
      <w:proofErr w:type="spellEnd"/>
      <w:r w:rsidRPr="003D6605">
        <w:t>), anti-gamma-</w:t>
      </w:r>
      <w:proofErr w:type="spellStart"/>
      <w:r w:rsidRPr="003D6605">
        <w:t>tubulin</w:t>
      </w:r>
      <w:proofErr w:type="spellEnd"/>
      <w:r w:rsidRPr="003D6605">
        <w:t xml:space="preserve"> produced in rabbit (sc-10732, Santa Cruz Biotechnology), anti-acetylated </w:t>
      </w:r>
      <w:proofErr w:type="spellStart"/>
      <w:r w:rsidRPr="003D6605">
        <w:t>tubulin</w:t>
      </w:r>
      <w:proofErr w:type="spellEnd"/>
      <w:r w:rsidRPr="003D6605">
        <w:t xml:space="preserve"> produced in mouse (T7451, Sigma), anti-DNAL4 (HPA003647, Atlas antibodies), anti-GFP produced in rabbit (ab290, </w:t>
      </w:r>
      <w:proofErr w:type="spellStart"/>
      <w:r w:rsidRPr="003D6605">
        <w:t>Abcam</w:t>
      </w:r>
      <w:proofErr w:type="spellEnd"/>
      <w:r w:rsidRPr="003D6605">
        <w:t xml:space="preserve">), anti </w:t>
      </w:r>
      <w:r w:rsidRPr="003D6605">
        <w:rPr>
          <w:color w:val="000000"/>
        </w:rPr>
        <w:t xml:space="preserve">Tuj1 produced in rabbit (MMS-435P, </w:t>
      </w:r>
      <w:proofErr w:type="spellStart"/>
      <w:r w:rsidRPr="003D6605">
        <w:rPr>
          <w:color w:val="000000"/>
        </w:rPr>
        <w:t>Biosite</w:t>
      </w:r>
      <w:proofErr w:type="spellEnd"/>
      <w:r w:rsidRPr="003D6605">
        <w:rPr>
          <w:color w:val="000000"/>
        </w:rPr>
        <w:t>)</w:t>
      </w:r>
      <w:r>
        <w:rPr>
          <w:color w:val="000000"/>
        </w:rPr>
        <w:t xml:space="preserve"> and</w:t>
      </w:r>
      <w:r w:rsidRPr="003D6605">
        <w:rPr>
          <w:color w:val="000000"/>
        </w:rPr>
        <w:t xml:space="preserve"> anti </w:t>
      </w:r>
      <w:proofErr w:type="spellStart"/>
      <w:r w:rsidRPr="003D6605">
        <w:rPr>
          <w:color w:val="000000"/>
        </w:rPr>
        <w:t>NeuN</w:t>
      </w:r>
      <w:proofErr w:type="spellEnd"/>
      <w:r w:rsidRPr="003D6605">
        <w:rPr>
          <w:color w:val="000000"/>
        </w:rPr>
        <w:t xml:space="preserve"> (MAB377, </w:t>
      </w:r>
      <w:proofErr w:type="spellStart"/>
      <w:r w:rsidRPr="003D6605">
        <w:rPr>
          <w:color w:val="000000"/>
        </w:rPr>
        <w:t>Chemicon</w:t>
      </w:r>
      <w:proofErr w:type="spellEnd"/>
      <w:r w:rsidRPr="003D6605">
        <w:rPr>
          <w:color w:val="000000"/>
        </w:rPr>
        <w:t>)</w:t>
      </w:r>
      <w:r w:rsidR="002F757F">
        <w:t>, anti-</w:t>
      </w:r>
      <w:r w:rsidR="002F757F" w:rsidRPr="003D6605">
        <w:t xml:space="preserve">KIF3A, </w:t>
      </w:r>
      <w:r w:rsidR="002F757F">
        <w:t xml:space="preserve">produced in rabbit </w:t>
      </w:r>
      <w:r w:rsidR="002F757F" w:rsidRPr="003D6605">
        <w:t xml:space="preserve">(ab11259, </w:t>
      </w:r>
      <w:proofErr w:type="spellStart"/>
      <w:r w:rsidR="002F757F" w:rsidRPr="003D6605">
        <w:t>Abcam</w:t>
      </w:r>
      <w:proofErr w:type="spellEnd"/>
      <w:r w:rsidR="002F757F" w:rsidRPr="003D6605">
        <w:t>)</w:t>
      </w:r>
      <w:r w:rsidR="002F757F">
        <w:t>,</w:t>
      </w:r>
      <w:r w:rsidR="002F757F" w:rsidRPr="003D6605">
        <w:t xml:space="preserve"> anti DCDC2 </w:t>
      </w:r>
      <w:r w:rsidR="002F757F">
        <w:t xml:space="preserve">produced in goat </w:t>
      </w:r>
      <w:r w:rsidR="002F757F" w:rsidRPr="003D6605">
        <w:t>(sc-50728</w:t>
      </w:r>
      <w:r w:rsidR="002F757F">
        <w:t>,</w:t>
      </w:r>
      <w:r w:rsidR="002F757F" w:rsidRPr="003D6605">
        <w:t xml:space="preserve"> Santa Cruz Biotechnology)</w:t>
      </w:r>
      <w:r w:rsidRPr="003D6605">
        <w:rPr>
          <w:color w:val="000000"/>
        </w:rPr>
        <w:t>.</w:t>
      </w:r>
      <w:r w:rsidRPr="003D6605">
        <w:t xml:space="preserve"> </w:t>
      </w:r>
    </w:p>
    <w:p w:rsidR="00645F8F" w:rsidRPr="003D6605" w:rsidRDefault="00645F8F" w:rsidP="00645F8F">
      <w:pPr>
        <w:spacing w:before="120" w:after="120" w:line="360" w:lineRule="auto"/>
      </w:pPr>
    </w:p>
    <w:p w:rsidR="00645F8F" w:rsidRPr="003D6605" w:rsidRDefault="00645F8F" w:rsidP="00645F8F">
      <w:pPr>
        <w:spacing w:before="120" w:after="120" w:line="360" w:lineRule="auto"/>
      </w:pPr>
      <w:r w:rsidRPr="003D6605">
        <w:t xml:space="preserve">The secondary antibodies used in this study were </w:t>
      </w:r>
      <w:proofErr w:type="spellStart"/>
      <w:r w:rsidRPr="003D6605">
        <w:t>Alexa</w:t>
      </w:r>
      <w:proofErr w:type="spellEnd"/>
      <w:r w:rsidRPr="003D6605">
        <w:t xml:space="preserve"> Fluor 488 goat anti-rabbit </w:t>
      </w:r>
      <w:proofErr w:type="spellStart"/>
      <w:r w:rsidRPr="003D6605">
        <w:t>IgG</w:t>
      </w:r>
      <w:proofErr w:type="spellEnd"/>
      <w:r w:rsidRPr="003D6605">
        <w:t xml:space="preserve"> (H + L), </w:t>
      </w:r>
      <w:proofErr w:type="spellStart"/>
      <w:r w:rsidRPr="003D6605">
        <w:t>Alexa</w:t>
      </w:r>
      <w:proofErr w:type="spellEnd"/>
      <w:r w:rsidRPr="003D6605">
        <w:t xml:space="preserve"> Fluor </w:t>
      </w:r>
      <w:proofErr w:type="spellStart"/>
      <w:r w:rsidRPr="003D6605">
        <w:t>Alexa</w:t>
      </w:r>
      <w:proofErr w:type="spellEnd"/>
      <w:r w:rsidRPr="003D6605">
        <w:t xml:space="preserve"> Fluor 555 donkey anti-rabbit </w:t>
      </w:r>
      <w:proofErr w:type="spellStart"/>
      <w:r w:rsidRPr="003D6605">
        <w:t>IgG</w:t>
      </w:r>
      <w:proofErr w:type="spellEnd"/>
      <w:r w:rsidRPr="003D6605">
        <w:t xml:space="preserve"> (H + L), </w:t>
      </w:r>
      <w:proofErr w:type="spellStart"/>
      <w:r w:rsidRPr="003D6605">
        <w:t>Alexa</w:t>
      </w:r>
      <w:proofErr w:type="spellEnd"/>
      <w:r w:rsidRPr="003D6605">
        <w:t xml:space="preserve"> Fluor 555 goat anti-mouse </w:t>
      </w:r>
      <w:proofErr w:type="spellStart"/>
      <w:r w:rsidRPr="003D6605">
        <w:t>IgG</w:t>
      </w:r>
      <w:proofErr w:type="spellEnd"/>
      <w:r w:rsidRPr="003D6605">
        <w:t xml:space="preserve"> (H + L), </w:t>
      </w:r>
      <w:proofErr w:type="spellStart"/>
      <w:r w:rsidRPr="003D6605">
        <w:t>Alexa</w:t>
      </w:r>
      <w:proofErr w:type="spellEnd"/>
      <w:r w:rsidRPr="003D6605">
        <w:t xml:space="preserve"> Fluor 488 goat anti-mouse </w:t>
      </w:r>
      <w:proofErr w:type="spellStart"/>
      <w:r w:rsidRPr="003D6605">
        <w:t>IgG</w:t>
      </w:r>
      <w:proofErr w:type="spellEnd"/>
      <w:r w:rsidRPr="003D6605">
        <w:t xml:space="preserve"> (H + L) (</w:t>
      </w:r>
      <w:proofErr w:type="spellStart"/>
      <w:r w:rsidRPr="003D6605">
        <w:t>Invitrogen</w:t>
      </w:r>
      <w:proofErr w:type="spellEnd"/>
      <w:r w:rsidRPr="003D6605">
        <w:t xml:space="preserve">) and </w:t>
      </w:r>
      <w:r w:rsidRPr="003D6605">
        <w:rPr>
          <w:color w:val="000000"/>
        </w:rPr>
        <w:t xml:space="preserve">Cy3-conjugated goat anti-mouse </w:t>
      </w:r>
      <w:proofErr w:type="spellStart"/>
      <w:r w:rsidRPr="003D6605">
        <w:rPr>
          <w:color w:val="000000"/>
        </w:rPr>
        <w:t>IgG</w:t>
      </w:r>
      <w:proofErr w:type="spellEnd"/>
      <w:r w:rsidRPr="003D6605">
        <w:rPr>
          <w:color w:val="000000"/>
        </w:rPr>
        <w:t xml:space="preserve"> (Jackson </w:t>
      </w:r>
      <w:proofErr w:type="spellStart"/>
      <w:r w:rsidRPr="003D6605">
        <w:rPr>
          <w:color w:val="000000"/>
        </w:rPr>
        <w:t>ImmunoResearch</w:t>
      </w:r>
      <w:proofErr w:type="spellEnd"/>
      <w:r w:rsidRPr="003D6605">
        <w:rPr>
          <w:color w:val="000000"/>
        </w:rPr>
        <w:t>).</w:t>
      </w:r>
    </w:p>
    <w:p w:rsidR="00645F8F" w:rsidRDefault="00645F8F" w:rsidP="005E57EE">
      <w:pPr>
        <w:spacing w:line="360" w:lineRule="auto"/>
      </w:pPr>
    </w:p>
    <w:p w:rsidR="00645F8F" w:rsidRPr="00F43555" w:rsidRDefault="00645F8F" w:rsidP="00F43555">
      <w:pPr>
        <w:spacing w:line="360" w:lineRule="auto"/>
        <w:rPr>
          <w:b/>
        </w:rPr>
      </w:pPr>
      <w:r w:rsidRPr="00645F8F">
        <w:rPr>
          <w:b/>
        </w:rPr>
        <w:t>Microscopy</w:t>
      </w:r>
    </w:p>
    <w:p w:rsidR="001F16B1" w:rsidRDefault="00555BF6" w:rsidP="00645F8F">
      <w:pPr>
        <w:spacing w:before="120" w:after="120" w:line="360" w:lineRule="auto"/>
      </w:pPr>
      <w:hyperlink r:id="rId7" w:history="1">
        <w:r w:rsidR="00645F8F" w:rsidRPr="003D6605">
          <w:t xml:space="preserve">The </w:t>
        </w:r>
        <w:proofErr w:type="spellStart"/>
        <w:r w:rsidR="00645F8F" w:rsidRPr="003D6605">
          <w:t>confocal</w:t>
        </w:r>
        <w:proofErr w:type="spellEnd"/>
        <w:r w:rsidR="00645F8F" w:rsidRPr="003D6605">
          <w:t xml:space="preserve"> </w:t>
        </w:r>
        <w:proofErr w:type="spellStart"/>
        <w:r w:rsidR="00645F8F" w:rsidRPr="003D6605">
          <w:t>immunofluorescence</w:t>
        </w:r>
        <w:proofErr w:type="spellEnd"/>
        <w:r w:rsidR="00645F8F" w:rsidRPr="003D6605">
          <w:t xml:space="preserve"> images were acquired with </w:t>
        </w:r>
      </w:hyperlink>
      <w:r w:rsidR="00645F8F" w:rsidRPr="003D6605">
        <w:t xml:space="preserve">Meta LSM 510 </w:t>
      </w:r>
      <w:proofErr w:type="spellStart"/>
      <w:r w:rsidR="00645F8F" w:rsidRPr="003D6605">
        <w:t>confocal</w:t>
      </w:r>
      <w:proofErr w:type="spellEnd"/>
      <w:r w:rsidR="00645F8F" w:rsidRPr="003D6605">
        <w:t xml:space="preserve"> imaging system and </w:t>
      </w:r>
      <w:proofErr w:type="spellStart"/>
      <w:r w:rsidR="00645F8F" w:rsidRPr="003D6605">
        <w:t>Axiovert</w:t>
      </w:r>
      <w:proofErr w:type="spellEnd"/>
      <w:r w:rsidR="00645F8F" w:rsidRPr="003D6605">
        <w:t xml:space="preserve"> 200 M microscope (Carl </w:t>
      </w:r>
      <w:proofErr w:type="spellStart"/>
      <w:r w:rsidR="00645F8F" w:rsidRPr="003D6605">
        <w:t>Zeiss</w:t>
      </w:r>
      <w:proofErr w:type="spellEnd"/>
      <w:r w:rsidR="00645F8F" w:rsidRPr="003D6605">
        <w:t xml:space="preserve">) using </w:t>
      </w:r>
      <w:r w:rsidR="00645F8F" w:rsidRPr="003D6605">
        <w:rPr>
          <w:color w:val="231F20"/>
        </w:rPr>
        <w:t xml:space="preserve">63× NA 1.4 or 40× NA 1.2 objective and </w:t>
      </w:r>
      <w:r w:rsidR="00645F8F" w:rsidRPr="003D6605">
        <w:t xml:space="preserve">multichannel scanning </w:t>
      </w:r>
      <w:r w:rsidR="00645F8F" w:rsidRPr="003D6605">
        <w:lastRenderedPageBreak/>
        <w:t>in frame mode. Settings for the blue channel used for imaging DAPI staining w</w:t>
      </w:r>
      <w:r w:rsidR="00645F8F">
        <w:t>ere</w:t>
      </w:r>
      <w:r w:rsidR="00645F8F" w:rsidRPr="003D6605">
        <w:t xml:space="preserve">: excitation wavelength 405 nm with emission filter BP 420-480. Settings for the green channel used for imaging EGFP or the </w:t>
      </w:r>
      <w:proofErr w:type="spellStart"/>
      <w:r w:rsidR="00645F8F" w:rsidRPr="003D6605">
        <w:t>Alexa</w:t>
      </w:r>
      <w:proofErr w:type="spellEnd"/>
      <w:r w:rsidR="00645F8F" w:rsidRPr="003D6605">
        <w:t xml:space="preserve"> Fluor 488 secondary antibody conjugates were: excitation wavelength 488 nm with emission filter BP 505-530. Settings for the red channel used for imaging the Cy3 or </w:t>
      </w:r>
      <w:proofErr w:type="spellStart"/>
      <w:r w:rsidR="00645F8F" w:rsidRPr="003D6605">
        <w:t>Alexa</w:t>
      </w:r>
      <w:proofErr w:type="spellEnd"/>
      <w:r w:rsidR="00645F8F" w:rsidRPr="003D6605">
        <w:t xml:space="preserve"> Fluor 555 conjugated secondary antibody conjugates were: excitation wavelength 543 nm with emission filter BP 560-615, BP 575-615, BP 585-615 or LP575. </w:t>
      </w:r>
    </w:p>
    <w:p w:rsidR="001F16B1" w:rsidRDefault="001F16B1" w:rsidP="001F16B1">
      <w:pPr>
        <w:spacing w:before="120" w:after="120" w:line="360" w:lineRule="auto"/>
      </w:pPr>
      <w:r>
        <w:t xml:space="preserve">The pictures for figure 6 were taken with ZEISS LSM 510 META </w:t>
      </w:r>
      <w:proofErr w:type="spellStart"/>
      <w:r>
        <w:t>confocal</w:t>
      </w:r>
      <w:proofErr w:type="spellEnd"/>
      <w:r>
        <w:t xml:space="preserve"> microscope. </w:t>
      </w:r>
      <w:r w:rsidRPr="003D6605">
        <w:t xml:space="preserve">Serial images through the entire worm were acquired along the z-axis in the 488-nm channel. 3D images were then reconstructed from the stacks of image files using </w:t>
      </w:r>
      <w:proofErr w:type="spellStart"/>
      <w:r w:rsidRPr="003D6605">
        <w:t>Zeiss</w:t>
      </w:r>
      <w:proofErr w:type="spellEnd"/>
      <w:r w:rsidRPr="003D6605">
        <w:t xml:space="preserve"> LSM software. The resulting images were then processed with Adobe </w:t>
      </w:r>
      <w:proofErr w:type="gramStart"/>
      <w:r w:rsidRPr="003D6605">
        <w:t>Photoshop</w:t>
      </w:r>
      <w:r w:rsidRPr="003D6605">
        <w:rPr>
          <w:vertAlign w:val="superscript"/>
        </w:rPr>
        <w:t xml:space="preserve"> </w:t>
      </w:r>
      <w:r w:rsidRPr="003D6605">
        <w:t xml:space="preserve"> software</w:t>
      </w:r>
      <w:proofErr w:type="gramEnd"/>
      <w:r w:rsidRPr="003D6605">
        <w:t>.</w:t>
      </w:r>
    </w:p>
    <w:p w:rsidR="001F16B1" w:rsidRDefault="001F16B1" w:rsidP="00645F8F">
      <w:pPr>
        <w:spacing w:before="120" w:after="120" w:line="360" w:lineRule="auto"/>
      </w:pPr>
      <w:r w:rsidRPr="003D6605">
        <w:t>Supplementary Fig. 3</w:t>
      </w:r>
      <w:r>
        <w:t>a</w:t>
      </w:r>
      <w:r w:rsidRPr="003D6605">
        <w:t xml:space="preserve"> was acquired using </w:t>
      </w:r>
      <w:proofErr w:type="spellStart"/>
      <w:r w:rsidRPr="003D6605">
        <w:t>Axioplan</w:t>
      </w:r>
      <w:proofErr w:type="spellEnd"/>
      <w:r w:rsidRPr="003D6605">
        <w:t xml:space="preserve"> 2 imaging microscope (Carl </w:t>
      </w:r>
      <w:proofErr w:type="spellStart"/>
      <w:r w:rsidRPr="003D6605">
        <w:t>Zeiss</w:t>
      </w:r>
      <w:proofErr w:type="spellEnd"/>
      <w:r w:rsidRPr="003D6605">
        <w:t>) using Plan-</w:t>
      </w:r>
      <w:proofErr w:type="spellStart"/>
      <w:r w:rsidRPr="003D6605">
        <w:t>Neofluar</w:t>
      </w:r>
      <w:proofErr w:type="spellEnd"/>
      <w:r w:rsidRPr="003D6605">
        <w:t xml:space="preserve"> 100X NA 1.3 objective and </w:t>
      </w:r>
      <w:proofErr w:type="spellStart"/>
      <w:r w:rsidRPr="003D6605">
        <w:t>Filterset</w:t>
      </w:r>
      <w:proofErr w:type="spellEnd"/>
      <w:r w:rsidRPr="003D6605">
        <w:t xml:space="preserve"> 16 (488016-0000; excitation BP485/20, </w:t>
      </w:r>
      <w:proofErr w:type="spellStart"/>
      <w:r w:rsidRPr="003D6605">
        <w:t>beamsplitter</w:t>
      </w:r>
      <w:proofErr w:type="spellEnd"/>
      <w:r w:rsidRPr="003D6605">
        <w:t xml:space="preserve"> FT510 and emission LP515). Image acquisition software used was </w:t>
      </w:r>
      <w:proofErr w:type="spellStart"/>
      <w:r w:rsidRPr="003D6605">
        <w:t>AxioVision</w:t>
      </w:r>
      <w:proofErr w:type="spellEnd"/>
      <w:r w:rsidRPr="003D6605">
        <w:t xml:space="preserve"> 3.0 (Carl </w:t>
      </w:r>
      <w:proofErr w:type="spellStart"/>
      <w:r w:rsidRPr="003D6605">
        <w:t>Zeiss</w:t>
      </w:r>
      <w:proofErr w:type="spellEnd"/>
      <w:r w:rsidRPr="003D6605">
        <w:t>).</w:t>
      </w:r>
    </w:p>
    <w:p w:rsidR="00F43555" w:rsidRPr="003D6605" w:rsidRDefault="00F43555" w:rsidP="00645F8F">
      <w:pPr>
        <w:spacing w:before="120" w:after="120" w:line="360" w:lineRule="auto"/>
      </w:pPr>
    </w:p>
    <w:p w:rsidR="00645F8F" w:rsidRDefault="00645F8F" w:rsidP="005E57EE">
      <w:pPr>
        <w:spacing w:line="360" w:lineRule="auto"/>
        <w:rPr>
          <w:b/>
        </w:rPr>
      </w:pPr>
      <w:r w:rsidRPr="00645F8F">
        <w:rPr>
          <w:b/>
          <w:i/>
        </w:rPr>
        <w:t>In situ</w:t>
      </w:r>
      <w:r w:rsidRPr="00645F8F">
        <w:rPr>
          <w:b/>
        </w:rPr>
        <w:t xml:space="preserve"> proximity ligation assays</w:t>
      </w:r>
    </w:p>
    <w:p w:rsidR="00645F8F" w:rsidRDefault="00645F8F" w:rsidP="00645F8F">
      <w:pPr>
        <w:spacing w:before="120" w:after="120" w:line="360" w:lineRule="auto"/>
      </w:pPr>
      <w:proofErr w:type="spellStart"/>
      <w:r w:rsidRPr="003D6605">
        <w:t>Hippocampal</w:t>
      </w:r>
      <w:proofErr w:type="spellEnd"/>
      <w:r w:rsidRPr="003D6605">
        <w:t xml:space="preserve"> neuron</w:t>
      </w:r>
      <w:r>
        <w:t>al</w:t>
      </w:r>
      <w:r w:rsidRPr="003D6605">
        <w:t xml:space="preserve"> cultures were </w:t>
      </w:r>
      <w:r>
        <w:t xml:space="preserve">plated </w:t>
      </w:r>
      <w:r w:rsidRPr="003D6605">
        <w:t>onto each well in Lab-</w:t>
      </w:r>
      <w:proofErr w:type="spellStart"/>
      <w:r w:rsidRPr="003D6605">
        <w:t>Tek</w:t>
      </w:r>
      <w:proofErr w:type="spellEnd"/>
      <w:r w:rsidRPr="003D6605">
        <w:t xml:space="preserve"> II chamber slides (</w:t>
      </w:r>
      <w:proofErr w:type="spellStart"/>
      <w:r w:rsidRPr="003D6605">
        <w:t>Nunc</w:t>
      </w:r>
      <w:proofErr w:type="spellEnd"/>
      <w:r w:rsidRPr="003D6605">
        <w:t>) coated with 0.001% poly-L-</w:t>
      </w:r>
      <w:proofErr w:type="spellStart"/>
      <w:r w:rsidRPr="003D6605">
        <w:t>ornithine</w:t>
      </w:r>
      <w:proofErr w:type="spellEnd"/>
      <w:r w:rsidRPr="003D6605">
        <w:t xml:space="preserve"> (Sigma) and 10 mg/ml </w:t>
      </w:r>
      <w:proofErr w:type="spellStart"/>
      <w:r w:rsidRPr="003D6605">
        <w:t>laminin</w:t>
      </w:r>
      <w:proofErr w:type="spellEnd"/>
      <w:r w:rsidRPr="003D6605">
        <w:t xml:space="preserve"> (</w:t>
      </w:r>
      <w:proofErr w:type="spellStart"/>
      <w:r w:rsidRPr="003D6605">
        <w:t>Invitrogen</w:t>
      </w:r>
      <w:proofErr w:type="spellEnd"/>
      <w:r w:rsidRPr="003D6605">
        <w:t>).</w:t>
      </w:r>
      <w:r>
        <w:t xml:space="preserve"> The cells were grown 7 days in vitro after which they were </w:t>
      </w:r>
      <w:r w:rsidRPr="003D6605">
        <w:t>washed in cold PBS, fixed in ice-cold 70% ethanol for one hour and air-dried before storage at -20˚C.</w:t>
      </w:r>
    </w:p>
    <w:p w:rsidR="00645F8F" w:rsidRPr="003D6605" w:rsidRDefault="00645F8F" w:rsidP="00645F8F">
      <w:pPr>
        <w:spacing w:before="120" w:after="120" w:line="360" w:lineRule="auto"/>
      </w:pPr>
    </w:p>
    <w:p w:rsidR="00645F8F" w:rsidRDefault="00645F8F" w:rsidP="00645F8F">
      <w:pPr>
        <w:spacing w:before="120" w:after="120" w:line="360" w:lineRule="auto"/>
      </w:pPr>
      <w:r w:rsidRPr="003D6605">
        <w:t xml:space="preserve">    The chamber wells were separated from the glass and a hydrophobic barrier between individual wells was made using </w:t>
      </w:r>
      <w:proofErr w:type="gramStart"/>
      <w:r w:rsidRPr="003D6605">
        <w:t>a</w:t>
      </w:r>
      <w:proofErr w:type="gramEnd"/>
      <w:r w:rsidRPr="003D6605">
        <w:t xml:space="preserve"> </w:t>
      </w:r>
      <w:proofErr w:type="spellStart"/>
      <w:r w:rsidRPr="003D6605">
        <w:t>ImmEdge</w:t>
      </w:r>
      <w:proofErr w:type="spellEnd"/>
      <w:r w:rsidRPr="003D6605">
        <w:t xml:space="preserve"> pen (Vector Laboratories, H-4000). Blocking, antibody hybridizations, proximity ligations </w:t>
      </w:r>
      <w:r w:rsidR="00044071">
        <w:t>[3-5]</w:t>
      </w:r>
      <w:r w:rsidRPr="003D6605">
        <w:t xml:space="preserve"> and detections were performed according to protocol (</w:t>
      </w:r>
      <w:proofErr w:type="spellStart"/>
      <w:r w:rsidRPr="003D6605">
        <w:t>Duolink</w:t>
      </w:r>
      <w:proofErr w:type="spellEnd"/>
      <w:r w:rsidRPr="003D6605">
        <w:t xml:space="preserve"> IQ, OLINK Bioscience) with minor adaptations. Briefly, Rabbit anti KIF3A, (ab11259, </w:t>
      </w:r>
      <w:proofErr w:type="spellStart"/>
      <w:r w:rsidRPr="003D6605">
        <w:t>Abcam</w:t>
      </w:r>
      <w:proofErr w:type="spellEnd"/>
      <w:r w:rsidRPr="003D6605">
        <w:t>) at 1μg/ml and Goat anti DCDC2 (</w:t>
      </w:r>
      <w:r w:rsidR="00C13B32" w:rsidRPr="003D6605">
        <w:t>sc-50728</w:t>
      </w:r>
      <w:r w:rsidR="00C13B32">
        <w:t>,</w:t>
      </w:r>
      <w:r w:rsidR="00C13B32" w:rsidRPr="003D6605">
        <w:t xml:space="preserve"> Santa Cruz Biotechnology</w:t>
      </w:r>
      <w:r w:rsidRPr="003D6605">
        <w:t xml:space="preserve">) at 1μg/ml were incubated at 4ºC overnight for detection of protein-protein interactions in rat </w:t>
      </w:r>
      <w:proofErr w:type="spellStart"/>
      <w:r w:rsidRPr="003D6605">
        <w:t>hippocampal</w:t>
      </w:r>
      <w:proofErr w:type="spellEnd"/>
      <w:r w:rsidRPr="003D6605">
        <w:t xml:space="preserve"> neurons. </w:t>
      </w:r>
      <w:r w:rsidR="0014218B">
        <w:t>W</w:t>
      </w:r>
      <w:r w:rsidRPr="003D6605">
        <w:t xml:space="preserve">e applied combinations of anti-Goat PLUS and anti-Rabbit MINUS PLA probes for 45 minutes or one hour at 37ºC. Rabbit anti KIF3A, (ab11259, </w:t>
      </w:r>
      <w:proofErr w:type="spellStart"/>
      <w:r w:rsidRPr="003D6605">
        <w:t>Abcam</w:t>
      </w:r>
      <w:proofErr w:type="spellEnd"/>
      <w:r w:rsidRPr="003D6605">
        <w:t>) at 1μg/ml and Goat anti DCDC2 (</w:t>
      </w:r>
      <w:r w:rsidR="00C13B32" w:rsidRPr="003D6605">
        <w:t>sc-50728</w:t>
      </w:r>
      <w:r w:rsidR="00C13B32">
        <w:t>,</w:t>
      </w:r>
      <w:r w:rsidR="00C13B32" w:rsidRPr="003D6605">
        <w:t xml:space="preserve"> Santa Cruz Biotechnology</w:t>
      </w:r>
      <w:r w:rsidRPr="003D6605">
        <w:t xml:space="preserve">) at 1μg/ml. Subsequent hybridizations, ligations and detections using </w:t>
      </w:r>
      <w:proofErr w:type="spellStart"/>
      <w:r w:rsidRPr="003D6605">
        <w:t>DuoLink</w:t>
      </w:r>
      <w:proofErr w:type="spellEnd"/>
      <w:r w:rsidRPr="003D6605">
        <w:t xml:space="preserve">™ 100 Detection kit 563 (OLINK Bioscience) were performed. </w:t>
      </w:r>
      <w:proofErr w:type="spellStart"/>
      <w:r w:rsidRPr="003D6605">
        <w:t>DuoLink</w:t>
      </w:r>
      <w:proofErr w:type="spellEnd"/>
      <w:r w:rsidRPr="003D6605">
        <w:t xml:space="preserve">™ 100 Detection kit </w:t>
      </w:r>
      <w:r w:rsidRPr="003D6605">
        <w:lastRenderedPageBreak/>
        <w:t xml:space="preserve">563 includes a </w:t>
      </w:r>
      <w:proofErr w:type="spellStart"/>
      <w:r w:rsidRPr="003D6605">
        <w:t>Tye</w:t>
      </w:r>
      <w:proofErr w:type="spellEnd"/>
      <w:r w:rsidRPr="003D6605">
        <w:t xml:space="preserve"> 563 </w:t>
      </w:r>
      <w:proofErr w:type="spellStart"/>
      <w:r w:rsidRPr="003D6605">
        <w:t>fluorophore</w:t>
      </w:r>
      <w:proofErr w:type="spellEnd"/>
      <w:r w:rsidRPr="003D6605">
        <w:t xml:space="preserve"> with excitation at 557 nm and emission at 563 nm and Hoechst 33432 nuclear dye. Phosphate buffered saline with 0.05 % Tween-20 (PBS-T) was used for washing. For staining of cilia we used Rabbit anti </w:t>
      </w:r>
      <w:proofErr w:type="spellStart"/>
      <w:r w:rsidRPr="003D6605">
        <w:t>Adenylyl</w:t>
      </w:r>
      <w:proofErr w:type="spellEnd"/>
      <w:r w:rsidRPr="003D6605">
        <w:t xml:space="preserve"> </w:t>
      </w:r>
      <w:proofErr w:type="spellStart"/>
      <w:r w:rsidRPr="003D6605">
        <w:t>cyclase</w:t>
      </w:r>
      <w:proofErr w:type="spellEnd"/>
      <w:r w:rsidRPr="003D6605">
        <w:t xml:space="preserve"> III, Ac3</w:t>
      </w:r>
      <w:proofErr w:type="gramStart"/>
      <w:r w:rsidRPr="003D6605">
        <w:t>,  (</w:t>
      </w:r>
      <w:proofErr w:type="gramEnd"/>
      <w:r w:rsidRPr="003D6605">
        <w:t xml:space="preserve">sc-588, Santa Cruz Biotechnology) and </w:t>
      </w:r>
      <w:proofErr w:type="spellStart"/>
      <w:r w:rsidRPr="003D6605">
        <w:t>Fluorescein</w:t>
      </w:r>
      <w:proofErr w:type="spellEnd"/>
      <w:r w:rsidRPr="003D6605">
        <w:t xml:space="preserve"> </w:t>
      </w:r>
      <w:proofErr w:type="spellStart"/>
      <w:r w:rsidRPr="003D6605">
        <w:t>isothiocyanate</w:t>
      </w:r>
      <w:proofErr w:type="spellEnd"/>
      <w:r w:rsidRPr="003D6605">
        <w:t xml:space="preserve"> (FITC) conjugated Goat anti Rabbit (H&amp;L) (ab6717, </w:t>
      </w:r>
      <w:proofErr w:type="spellStart"/>
      <w:r w:rsidRPr="003D6605">
        <w:t>Abcam</w:t>
      </w:r>
      <w:proofErr w:type="spellEnd"/>
      <w:r w:rsidRPr="003D6605">
        <w:t xml:space="preserve">) at a 1:100 dilution in PBT-T. Preparations were mounted in </w:t>
      </w:r>
      <w:proofErr w:type="spellStart"/>
      <w:r w:rsidRPr="003D6605">
        <w:t>DuoLink</w:t>
      </w:r>
      <w:proofErr w:type="spellEnd"/>
      <w:r w:rsidRPr="003D6605">
        <w:t xml:space="preserve">™ Mounting Medium, (OLINK Bioscience) under cover glass and sealed with nail polish. Assays were photographed using Olympus IX71 inverted fluorescence microscope with oil immersion </w:t>
      </w:r>
      <w:proofErr w:type="gramStart"/>
      <w:r w:rsidRPr="003D6605">
        <w:t>100x lens</w:t>
      </w:r>
      <w:proofErr w:type="gramEnd"/>
      <w:r w:rsidRPr="003D6605">
        <w:t xml:space="preserve">. Filter settings in nanometers for emission, excitation and mirror for the Hoechst 33432 were 350/50, 460/50, 400 LP; for FITC 480/40, 535/50, 505 LP and for the red channel 565/30, 620/60, 585 LP, respectively. Brightness and contrast of photos from the microscope were enhanced for presentation using the </w:t>
      </w:r>
      <w:proofErr w:type="spellStart"/>
      <w:r w:rsidRPr="003D6605">
        <w:t>ImageJ</w:t>
      </w:r>
      <w:proofErr w:type="spellEnd"/>
      <w:r w:rsidRPr="003D6605">
        <w:t xml:space="preserve"> 1.38x software and figures were assembled in Adobe Illustrator CS2 software.  </w:t>
      </w:r>
    </w:p>
    <w:p w:rsidR="00645F8F" w:rsidRDefault="00645F8F" w:rsidP="005E57EE">
      <w:pPr>
        <w:spacing w:line="360" w:lineRule="auto"/>
        <w:rPr>
          <w:b/>
        </w:rPr>
      </w:pPr>
    </w:p>
    <w:p w:rsidR="00645F8F" w:rsidRDefault="00645F8F" w:rsidP="00645F8F">
      <w:pPr>
        <w:spacing w:before="120" w:after="120" w:line="360" w:lineRule="auto"/>
        <w:rPr>
          <w:b/>
        </w:rPr>
      </w:pPr>
      <w:r w:rsidRPr="003D6605">
        <w:rPr>
          <w:b/>
        </w:rPr>
        <w:t>Microarray experiment and analysis</w:t>
      </w:r>
    </w:p>
    <w:p w:rsidR="00645F8F" w:rsidRPr="003D6605" w:rsidRDefault="00645F8F" w:rsidP="00645F8F">
      <w:pPr>
        <w:spacing w:line="360" w:lineRule="auto"/>
        <w:jc w:val="both"/>
      </w:pPr>
      <w:r w:rsidRPr="003D6605">
        <w:t xml:space="preserve">Total RNA from control and DCDC2 </w:t>
      </w:r>
      <w:proofErr w:type="spellStart"/>
      <w:r w:rsidRPr="003D6605">
        <w:t>overexpressing</w:t>
      </w:r>
      <w:proofErr w:type="spellEnd"/>
      <w:r w:rsidRPr="003D6605">
        <w:t xml:space="preserve"> </w:t>
      </w:r>
      <w:proofErr w:type="spellStart"/>
      <w:r w:rsidRPr="003D6605">
        <w:t>hippocampal</w:t>
      </w:r>
      <w:proofErr w:type="spellEnd"/>
      <w:r w:rsidRPr="003D6605">
        <w:t xml:space="preserve"> neurons were isolated with Mini RNA isolation kit II (</w:t>
      </w:r>
      <w:proofErr w:type="spellStart"/>
      <w:r w:rsidRPr="003D6605">
        <w:t>Zymo</w:t>
      </w:r>
      <w:proofErr w:type="spellEnd"/>
      <w:r w:rsidRPr="003D6605">
        <w:t xml:space="preserve"> Research) and the concentrations were measured by a UV spectrophotometer and the quality determined using the RNA </w:t>
      </w:r>
      <w:proofErr w:type="spellStart"/>
      <w:r w:rsidRPr="003D6605">
        <w:t>Nano</w:t>
      </w:r>
      <w:proofErr w:type="spellEnd"/>
      <w:r w:rsidRPr="003D6605">
        <w:t xml:space="preserve"> </w:t>
      </w:r>
      <w:proofErr w:type="spellStart"/>
      <w:r w:rsidRPr="003D6605">
        <w:t>LabChip</w:t>
      </w:r>
      <w:proofErr w:type="spellEnd"/>
      <w:r w:rsidRPr="003D6605">
        <w:t xml:space="preserve"> kit on the Agilent 2100 </w:t>
      </w:r>
      <w:proofErr w:type="spellStart"/>
      <w:r w:rsidRPr="003D6605">
        <w:t>Bioanalyzer</w:t>
      </w:r>
      <w:proofErr w:type="spellEnd"/>
      <w:r w:rsidRPr="003D6605">
        <w:t xml:space="preserve"> (Agilent technologies, DE, USA).The samples were prepared and hybridized according to manufacturers protocols (</w:t>
      </w:r>
      <w:proofErr w:type="spellStart"/>
      <w:r w:rsidRPr="003D6605">
        <w:t>Affymetrix</w:t>
      </w:r>
      <w:proofErr w:type="spellEnd"/>
      <w:r w:rsidRPr="003D6605">
        <w:t xml:space="preserve"> Inc., Santa Clara, CA, USA). The arrays were scanned with </w:t>
      </w:r>
      <w:proofErr w:type="spellStart"/>
      <w:r w:rsidRPr="003D6605">
        <w:t>GeneChip</w:t>
      </w:r>
      <w:proofErr w:type="spellEnd"/>
      <w:r w:rsidRPr="003D6605">
        <w:t xml:space="preserve"> scanner 3000 7G (</w:t>
      </w:r>
      <w:proofErr w:type="spellStart"/>
      <w:r w:rsidRPr="003D6605">
        <w:t>Affymetrix</w:t>
      </w:r>
      <w:proofErr w:type="spellEnd"/>
      <w:r w:rsidRPr="003D6605">
        <w:t xml:space="preserve"> Inc.). The Rat Gene 1.0 ST array </w:t>
      </w:r>
      <w:r w:rsidR="0014218B" w:rsidRPr="003D6605">
        <w:t>constitutes</w:t>
      </w:r>
      <w:r w:rsidRPr="003D6605">
        <w:t xml:space="preserve"> more than 27,000 gene-level probe sets. </w:t>
      </w:r>
    </w:p>
    <w:p w:rsidR="00645F8F" w:rsidRPr="003D6605" w:rsidRDefault="00645F8F" w:rsidP="00645F8F">
      <w:pPr>
        <w:spacing w:before="120" w:after="120" w:line="360" w:lineRule="auto"/>
        <w:rPr>
          <w:b/>
        </w:rPr>
      </w:pPr>
    </w:p>
    <w:p w:rsidR="00F43555" w:rsidRDefault="00645F8F" w:rsidP="00645F8F">
      <w:pPr>
        <w:spacing w:before="120" w:after="120" w:line="360" w:lineRule="auto"/>
      </w:pPr>
      <w:r w:rsidRPr="003D6605">
        <w:t xml:space="preserve">The analyses of the microarray data were performed using the statistical software R (http://www.R-project.org), by implementing the packages </w:t>
      </w:r>
      <w:proofErr w:type="spellStart"/>
      <w:r w:rsidRPr="003D6605">
        <w:t>Affy</w:t>
      </w:r>
      <w:proofErr w:type="spellEnd"/>
      <w:r w:rsidRPr="003D6605">
        <w:t xml:space="preserve"> and </w:t>
      </w:r>
      <w:proofErr w:type="spellStart"/>
      <w:r w:rsidRPr="003D6605">
        <w:t>Limma</w:t>
      </w:r>
      <w:proofErr w:type="spellEnd"/>
      <w:r w:rsidRPr="003D6605">
        <w:t xml:space="preserve"> </w:t>
      </w:r>
      <w:r w:rsidR="00044071">
        <w:t>[6, 7]</w:t>
      </w:r>
      <w:r w:rsidRPr="003D6605">
        <w:t xml:space="preserve">. For the annotation of the probe sets in the Rat Gene 1.0 ST array, we used the </w:t>
      </w:r>
      <w:proofErr w:type="spellStart"/>
      <w:r w:rsidRPr="003D6605">
        <w:t>cdf</w:t>
      </w:r>
      <w:proofErr w:type="spellEnd"/>
      <w:r w:rsidRPr="003D6605">
        <w:t xml:space="preserve"> package RaGene10stv1_Rn_ENTREZG version 11 downloaded from </w:t>
      </w:r>
      <w:hyperlink r:id="rId8" w:history="1">
        <w:r w:rsidRPr="003D6605">
          <w:rPr>
            <w:rStyle w:val="Hyperlink"/>
          </w:rPr>
          <w:t>http://brainarray.mbni.med.umich.edu/Brainarray/default.asp</w:t>
        </w:r>
      </w:hyperlink>
      <w:r w:rsidRPr="003D6605">
        <w:t xml:space="preserve">. Background signals subtraction, normalization and Log2 expression values were calculated using the robust </w:t>
      </w:r>
      <w:proofErr w:type="spellStart"/>
      <w:r w:rsidRPr="003D6605">
        <w:t>multiarray</w:t>
      </w:r>
      <w:proofErr w:type="spellEnd"/>
      <w:r w:rsidRPr="003D6605">
        <w:t xml:space="preserve"> average method (RMA) </w:t>
      </w:r>
      <w:fldSimple w:instr="ADDIN RW.CITE{{161 Irizarry,R.A. 2003}}">
        <w:r w:rsidR="0014218B">
          <w:t>(8)</w:t>
        </w:r>
      </w:fldSimple>
      <w:r w:rsidRPr="003D6605">
        <w:t xml:space="preserve">. A linear model was fitted to the expression data for each probe using the least squares method. Contrasts were specified to make pair-wise comparison between the control and DCDC2 </w:t>
      </w:r>
      <w:proofErr w:type="spellStart"/>
      <w:r w:rsidRPr="003D6605">
        <w:t>overexpression</w:t>
      </w:r>
      <w:proofErr w:type="spellEnd"/>
      <w:r w:rsidRPr="003D6605">
        <w:t xml:space="preserve"> groups, and coefficients and estimated standard errors were computed based on the fitted linear models. The estimated coefficients and standard errors were used to compute moderated t-statistics and log-odds of differential expression (B-values), using empirical </w:t>
      </w:r>
      <w:proofErr w:type="spellStart"/>
      <w:r w:rsidRPr="003D6605">
        <w:t>Bayes</w:t>
      </w:r>
      <w:proofErr w:type="spellEnd"/>
      <w:r w:rsidRPr="003D6605">
        <w:t xml:space="preserve"> shrinkage of the standard errors towards a common value </w:t>
      </w:r>
      <w:r w:rsidR="00044071">
        <w:t>[7]</w:t>
      </w:r>
      <w:r w:rsidRPr="003D6605">
        <w:t xml:space="preserve">. </w:t>
      </w:r>
    </w:p>
    <w:p w:rsidR="00645F8F" w:rsidRPr="003D6605" w:rsidRDefault="00F43555" w:rsidP="00645F8F">
      <w:pPr>
        <w:spacing w:before="120" w:after="120" w:line="360" w:lineRule="auto"/>
        <w:rPr>
          <w:b/>
        </w:rPr>
      </w:pPr>
      <w:r>
        <w:br w:type="page"/>
      </w:r>
      <w:r w:rsidR="00645F8F" w:rsidRPr="003D6605">
        <w:rPr>
          <w:b/>
        </w:rPr>
        <w:lastRenderedPageBreak/>
        <w:t xml:space="preserve">GO enrichment analysis </w:t>
      </w:r>
    </w:p>
    <w:p w:rsidR="00645F8F" w:rsidRDefault="00D544EA" w:rsidP="00645F8F">
      <w:pPr>
        <w:spacing w:before="120" w:after="120" w:line="360" w:lineRule="auto"/>
      </w:pPr>
      <w:r>
        <w:t>GO enrichment analysis was done using our gene list (</w:t>
      </w:r>
      <w:r w:rsidR="0014218B">
        <w:t>T</w:t>
      </w:r>
      <w:r>
        <w:t xml:space="preserve">able 1) and Rat Gene </w:t>
      </w:r>
      <w:proofErr w:type="spellStart"/>
      <w:r>
        <w:t>st</w:t>
      </w:r>
      <w:proofErr w:type="spellEnd"/>
      <w:r>
        <w:t xml:space="preserve"> V1.0 as background. </w:t>
      </w:r>
      <w:r w:rsidR="00645F8F" w:rsidRPr="003D6605">
        <w:t xml:space="preserve">To test if any gene ontology terms were enriched in our differentially expressed genes list from the microarray experiment, we used the </w:t>
      </w:r>
      <w:proofErr w:type="spellStart"/>
      <w:r>
        <w:t>WebGestalt</w:t>
      </w:r>
      <w:proofErr w:type="spellEnd"/>
      <w:r>
        <w:t xml:space="preserve"> bioinformatics resources </w:t>
      </w:r>
      <w:r w:rsidR="00044071">
        <w:t>[9, 10]</w:t>
      </w:r>
      <w:r w:rsidR="00645F8F" w:rsidRPr="003D6605">
        <w:t xml:space="preserve">. </w:t>
      </w:r>
      <w:r>
        <w:t>Adjusted p-value 0</w:t>
      </w:r>
      <w:proofErr w:type="gramStart"/>
      <w:r>
        <w:t>,05</w:t>
      </w:r>
      <w:proofErr w:type="gramEnd"/>
      <w:r>
        <w:t xml:space="preserve"> </w:t>
      </w:r>
      <w:r w:rsidR="00645F8F" w:rsidRPr="003D6605">
        <w:t>was used as a threshold in the functional annotation clustering.</w:t>
      </w:r>
    </w:p>
    <w:p w:rsidR="00645F8F" w:rsidRPr="003D6605" w:rsidRDefault="00645F8F" w:rsidP="00645F8F">
      <w:pPr>
        <w:spacing w:before="120" w:after="120" w:line="360" w:lineRule="auto"/>
      </w:pPr>
    </w:p>
    <w:p w:rsidR="00645F8F" w:rsidRPr="003D6605" w:rsidRDefault="00645F8F" w:rsidP="00645F8F">
      <w:pPr>
        <w:pStyle w:val="Heading4"/>
        <w:spacing w:line="360" w:lineRule="auto"/>
        <w:ind w:right="541"/>
        <w:jc w:val="both"/>
        <w:rPr>
          <w:sz w:val="24"/>
          <w:szCs w:val="24"/>
        </w:rPr>
      </w:pPr>
      <w:r w:rsidRPr="003D6605">
        <w:rPr>
          <w:sz w:val="24"/>
          <w:szCs w:val="24"/>
        </w:rPr>
        <w:t xml:space="preserve">Quantitative real-time PCR </w:t>
      </w:r>
    </w:p>
    <w:p w:rsidR="00645F8F" w:rsidRDefault="00645F8F" w:rsidP="00645F8F">
      <w:pPr>
        <w:spacing w:line="360" w:lineRule="auto"/>
      </w:pPr>
      <w:r w:rsidRPr="003D6605">
        <w:t xml:space="preserve">For </w:t>
      </w:r>
      <w:proofErr w:type="spellStart"/>
      <w:r w:rsidRPr="003D6605">
        <w:t>cDNA</w:t>
      </w:r>
      <w:proofErr w:type="spellEnd"/>
      <w:r w:rsidRPr="003D6605">
        <w:t xml:space="preserve"> synthesis 0</w:t>
      </w:r>
      <w:proofErr w:type="gramStart"/>
      <w:r w:rsidRPr="003D6605">
        <w:t>,5</w:t>
      </w:r>
      <w:proofErr w:type="gramEnd"/>
      <w:r w:rsidRPr="003D6605">
        <w:t xml:space="preserve"> µg of total RNA were used as template using the </w:t>
      </w:r>
      <w:proofErr w:type="spellStart"/>
      <w:r w:rsidRPr="003D6605">
        <w:t>SuperScript</w:t>
      </w:r>
      <w:proofErr w:type="spellEnd"/>
      <w:r w:rsidRPr="003D6605">
        <w:t xml:space="preserve">® III First-Strand Synthesis </w:t>
      </w:r>
      <w:proofErr w:type="spellStart"/>
      <w:r w:rsidRPr="003D6605">
        <w:t>SuperMix</w:t>
      </w:r>
      <w:proofErr w:type="spellEnd"/>
      <w:r w:rsidRPr="003D6605">
        <w:t xml:space="preserve"> kit (11752-250, </w:t>
      </w:r>
      <w:proofErr w:type="spellStart"/>
      <w:r w:rsidRPr="003D6605">
        <w:t>Invitrogen</w:t>
      </w:r>
      <w:proofErr w:type="spellEnd"/>
      <w:r w:rsidRPr="003D6605">
        <w:t xml:space="preserve">). The PCR assay was performed using Fast SYBR® Green PCR Master Mix (4385612, Applied </w:t>
      </w:r>
      <w:proofErr w:type="spellStart"/>
      <w:r w:rsidRPr="003D6605">
        <w:t>Biosystems</w:t>
      </w:r>
      <w:proofErr w:type="spellEnd"/>
      <w:r w:rsidRPr="003D6605">
        <w:t xml:space="preserve">) in a total volume of 10 </w:t>
      </w:r>
      <w:proofErr w:type="spellStart"/>
      <w:r w:rsidRPr="003D6605">
        <w:t>μl</w:t>
      </w:r>
      <w:proofErr w:type="spellEnd"/>
      <w:r w:rsidRPr="003D6605">
        <w:t xml:space="preserve">, containing 1:5 diluted </w:t>
      </w:r>
      <w:proofErr w:type="spellStart"/>
      <w:r w:rsidRPr="003D6605">
        <w:t>cDNA</w:t>
      </w:r>
      <w:proofErr w:type="spellEnd"/>
      <w:r w:rsidRPr="003D6605">
        <w:t xml:space="preserve"> templates. The reactions were amplified using 7500 Fast Real-Time PCR system (Applied </w:t>
      </w:r>
      <w:proofErr w:type="spellStart"/>
      <w:r w:rsidRPr="003D6605">
        <w:t>Biosystems</w:t>
      </w:r>
      <w:proofErr w:type="spellEnd"/>
      <w:r w:rsidRPr="003D6605">
        <w:t xml:space="preserve">). A dissociation stage was added to confirm primer specificity. Relative expression of the different gene transcripts were calculated by using the </w:t>
      </w:r>
      <w:proofErr w:type="spellStart"/>
      <w:r w:rsidRPr="003D6605">
        <w:t>ΔΔCt</w:t>
      </w:r>
      <w:proofErr w:type="spellEnd"/>
      <w:r w:rsidRPr="003D6605">
        <w:t xml:space="preserve"> method and converted to the relative expression ratio (2</w:t>
      </w:r>
      <w:r w:rsidRPr="003D6605">
        <w:rPr>
          <w:vertAlign w:val="superscript"/>
        </w:rPr>
        <w:t>-</w:t>
      </w:r>
      <w:r w:rsidRPr="003D6605">
        <w:t xml:space="preserve"> </w:t>
      </w:r>
      <w:proofErr w:type="spellStart"/>
      <w:r w:rsidRPr="003D6605">
        <w:rPr>
          <w:vertAlign w:val="superscript"/>
        </w:rPr>
        <w:t>ΔΔCt</w:t>
      </w:r>
      <w:proofErr w:type="spellEnd"/>
      <w:r w:rsidRPr="003D6605">
        <w:t xml:space="preserve">). All data were normalized to the endogenous reference genes </w:t>
      </w:r>
      <w:proofErr w:type="spellStart"/>
      <w:r w:rsidRPr="003D6605">
        <w:t>peptidylprolyl</w:t>
      </w:r>
      <w:proofErr w:type="spellEnd"/>
      <w:r w:rsidRPr="003D6605">
        <w:t xml:space="preserve"> </w:t>
      </w:r>
      <w:proofErr w:type="spellStart"/>
      <w:r w:rsidRPr="003D6605">
        <w:t>isomerase</w:t>
      </w:r>
      <w:proofErr w:type="spellEnd"/>
      <w:r w:rsidRPr="003D6605">
        <w:t xml:space="preserve"> A (</w:t>
      </w:r>
      <w:proofErr w:type="spellStart"/>
      <w:r w:rsidRPr="003D6605">
        <w:t>Ppia</w:t>
      </w:r>
      <w:proofErr w:type="spellEnd"/>
      <w:r w:rsidRPr="003D6605">
        <w:t xml:space="preserve">) and </w:t>
      </w:r>
      <w:r w:rsidRPr="003D6605">
        <w:rPr>
          <w:bCs/>
        </w:rPr>
        <w:t xml:space="preserve">hypoxanthine-guanine </w:t>
      </w:r>
      <w:proofErr w:type="spellStart"/>
      <w:r w:rsidRPr="003D6605">
        <w:rPr>
          <w:bCs/>
        </w:rPr>
        <w:t>phosphoribosyltransferase</w:t>
      </w:r>
      <w:proofErr w:type="spellEnd"/>
      <w:r w:rsidRPr="003D6605">
        <w:t xml:space="preserve"> (</w:t>
      </w:r>
      <w:proofErr w:type="spellStart"/>
      <w:r w:rsidRPr="003D6605">
        <w:rPr>
          <w:bCs/>
        </w:rPr>
        <w:t>Hprt</w:t>
      </w:r>
      <w:proofErr w:type="spellEnd"/>
      <w:r w:rsidRPr="003D6605">
        <w:rPr>
          <w:bCs/>
        </w:rPr>
        <w:t xml:space="preserve">) expression. Student’s t-test were performed using the </w:t>
      </w:r>
      <w:proofErr w:type="spellStart"/>
      <w:r w:rsidRPr="003D6605">
        <w:t>ΔCt</w:t>
      </w:r>
      <w:proofErr w:type="spellEnd"/>
      <w:r w:rsidRPr="003D6605">
        <w:t xml:space="preserve"> values, sample variances were tested to be equal. Primer sequences are in the supplementary table S</w:t>
      </w:r>
      <w:r w:rsidR="0014218B">
        <w:t>2</w:t>
      </w:r>
      <w:r w:rsidRPr="003D6605">
        <w:t>.</w:t>
      </w:r>
    </w:p>
    <w:p w:rsidR="00F43555" w:rsidRPr="003D6605" w:rsidRDefault="00F43555" w:rsidP="00645F8F">
      <w:pPr>
        <w:spacing w:line="360" w:lineRule="auto"/>
      </w:pPr>
    </w:p>
    <w:p w:rsidR="00645F8F" w:rsidRPr="003D6605" w:rsidRDefault="00645F8F" w:rsidP="00645F8F">
      <w:pPr>
        <w:pStyle w:val="Heading3"/>
        <w:spacing w:before="120" w:after="120" w:line="360" w:lineRule="auto"/>
        <w:rPr>
          <w:rFonts w:ascii="Times New Roman" w:hAnsi="Times New Roman" w:cs="Times New Roman"/>
        </w:rPr>
      </w:pPr>
      <w:r w:rsidRPr="003D6605">
        <w:rPr>
          <w:rFonts w:ascii="Times New Roman" w:hAnsi="Times New Roman" w:cs="Times New Roman"/>
        </w:rPr>
        <w:t>Statistical analyses</w:t>
      </w:r>
    </w:p>
    <w:p w:rsidR="005E57EE" w:rsidRDefault="00645F8F" w:rsidP="00044071">
      <w:pPr>
        <w:spacing w:before="120" w:after="120" w:line="360" w:lineRule="auto"/>
      </w:pPr>
      <w:r w:rsidRPr="003D6605">
        <w:t xml:space="preserve">In the </w:t>
      </w:r>
      <w:proofErr w:type="spellStart"/>
      <w:r w:rsidRPr="003D6605">
        <w:t>ciliary</w:t>
      </w:r>
      <w:proofErr w:type="spellEnd"/>
      <w:r w:rsidRPr="003D6605">
        <w:t xml:space="preserve"> length measurements the cilium in each group of </w:t>
      </w:r>
      <w:proofErr w:type="spellStart"/>
      <w:r w:rsidRPr="003D6605">
        <w:t>transfected</w:t>
      </w:r>
      <w:proofErr w:type="spellEnd"/>
      <w:r w:rsidRPr="003D6605">
        <w:t xml:space="preserve"> cells was compared to that of </w:t>
      </w:r>
      <w:proofErr w:type="spellStart"/>
      <w:r w:rsidRPr="003D6605">
        <w:t>untransfected</w:t>
      </w:r>
      <w:proofErr w:type="spellEnd"/>
      <w:r w:rsidRPr="003D6605">
        <w:t xml:space="preserve"> cells from the same cultures. </w:t>
      </w:r>
      <w:proofErr w:type="spellStart"/>
      <w:r w:rsidRPr="003D6605">
        <w:t>Ciliary</w:t>
      </w:r>
      <w:proofErr w:type="spellEnd"/>
      <w:r w:rsidRPr="003D6605">
        <w:t xml:space="preserve"> length can be assumed to be normally distributed and the length histograms for each group appeared to be </w:t>
      </w:r>
      <w:r w:rsidR="0014218B">
        <w:t xml:space="preserve">in </w:t>
      </w:r>
      <w:r w:rsidRPr="003D6605">
        <w:t xml:space="preserve">agreement with this assumption (data not shown). The </w:t>
      </w:r>
      <w:proofErr w:type="spellStart"/>
      <w:r w:rsidRPr="003D6605">
        <w:t>ciliary</w:t>
      </w:r>
      <w:proofErr w:type="spellEnd"/>
      <w:r w:rsidRPr="003D6605">
        <w:t xml:space="preserve"> lengths were analyzed with two-tailed student’s t-test not assuming equal variances. For Fig. </w:t>
      </w:r>
      <w:r>
        <w:t>2b</w:t>
      </w:r>
      <w:r w:rsidRPr="003D6605">
        <w:t xml:space="preserve">, the 95% confidence interval for the ratio of mean </w:t>
      </w:r>
      <w:proofErr w:type="spellStart"/>
      <w:r w:rsidRPr="003D6605">
        <w:t>ciliary</w:t>
      </w:r>
      <w:proofErr w:type="spellEnd"/>
      <w:r w:rsidRPr="003D6605">
        <w:t xml:space="preserve"> length in </w:t>
      </w:r>
      <w:proofErr w:type="spellStart"/>
      <w:r w:rsidRPr="003D6605">
        <w:t>transfected</w:t>
      </w:r>
      <w:proofErr w:type="spellEnd"/>
      <w:r w:rsidRPr="003D6605">
        <w:t xml:space="preserve"> cells versus </w:t>
      </w:r>
      <w:proofErr w:type="spellStart"/>
      <w:r w:rsidRPr="003D6605">
        <w:t>untransfected</w:t>
      </w:r>
      <w:proofErr w:type="spellEnd"/>
      <w:r w:rsidRPr="003D6605">
        <w:t xml:space="preserve"> cells was calculated by the method of EC </w:t>
      </w:r>
      <w:proofErr w:type="spellStart"/>
      <w:r w:rsidRPr="003D6605">
        <w:t>Fieller</w:t>
      </w:r>
      <w:proofErr w:type="spellEnd"/>
      <w:r w:rsidR="00044071">
        <w:t xml:space="preserve"> [11]</w:t>
      </w:r>
      <w:r w:rsidRPr="003D6605">
        <w:t xml:space="preserve">. In the </w:t>
      </w:r>
      <w:proofErr w:type="spellStart"/>
      <w:r w:rsidRPr="003D6605">
        <w:t>luciferase</w:t>
      </w:r>
      <w:proofErr w:type="spellEnd"/>
      <w:r w:rsidRPr="003D6605">
        <w:t xml:space="preserve"> assays, the ratio of reporter </w:t>
      </w:r>
      <w:proofErr w:type="spellStart"/>
      <w:r w:rsidRPr="003D6605">
        <w:t>luciferase</w:t>
      </w:r>
      <w:proofErr w:type="spellEnd"/>
      <w:r w:rsidRPr="003D6605">
        <w:t xml:space="preserve"> to control </w:t>
      </w:r>
      <w:proofErr w:type="spellStart"/>
      <w:r w:rsidRPr="003D6605">
        <w:t>luciferase</w:t>
      </w:r>
      <w:proofErr w:type="spellEnd"/>
      <w:r w:rsidRPr="003D6605">
        <w:t xml:space="preserve"> was normalized to the mean value of the </w:t>
      </w:r>
      <w:proofErr w:type="spellStart"/>
      <w:r w:rsidRPr="003D6605">
        <w:t>shRNA</w:t>
      </w:r>
      <w:proofErr w:type="spellEnd"/>
      <w:r w:rsidRPr="003D6605">
        <w:t xml:space="preserve">-control </w:t>
      </w:r>
      <w:proofErr w:type="spellStart"/>
      <w:r w:rsidRPr="003D6605">
        <w:t>transfected</w:t>
      </w:r>
      <w:proofErr w:type="spellEnd"/>
      <w:r w:rsidRPr="003D6605">
        <w:t xml:space="preserve"> cells. The groups </w:t>
      </w:r>
      <w:proofErr w:type="spellStart"/>
      <w:r w:rsidRPr="003D6605">
        <w:t>transfected</w:t>
      </w:r>
      <w:proofErr w:type="spellEnd"/>
      <w:r w:rsidRPr="003D6605">
        <w:t xml:space="preserve"> with different DCDC2 or control constructs were compared to each other using one-way ANOVA followed by </w:t>
      </w:r>
      <w:proofErr w:type="spellStart"/>
      <w:r w:rsidRPr="003D6605">
        <w:t>Tukey's</w:t>
      </w:r>
      <w:proofErr w:type="spellEnd"/>
      <w:r w:rsidRPr="003D6605">
        <w:t xml:space="preserve"> Multiple Comparison Test which showed that statistically significant results were found only when comparing DCDC2 </w:t>
      </w:r>
      <w:proofErr w:type="spellStart"/>
      <w:r w:rsidRPr="003D6605">
        <w:t>overexpression</w:t>
      </w:r>
      <w:proofErr w:type="spellEnd"/>
      <w:r w:rsidRPr="003D6605">
        <w:t xml:space="preserve"> against other groups in the </w:t>
      </w:r>
      <w:proofErr w:type="spellStart"/>
      <w:r w:rsidRPr="003D6605">
        <w:t>Shh</w:t>
      </w:r>
      <w:proofErr w:type="spellEnd"/>
      <w:r w:rsidRPr="003D6605">
        <w:t xml:space="preserve"> assay and when comparing shRNA-Dcdc2 to other groups in the </w:t>
      </w:r>
      <w:proofErr w:type="spellStart"/>
      <w:r w:rsidRPr="003D6605">
        <w:t>Wnt</w:t>
      </w:r>
      <w:proofErr w:type="spellEnd"/>
      <w:r w:rsidRPr="003D6605">
        <w:t xml:space="preserve"> assay.</w:t>
      </w:r>
    </w:p>
    <w:p w:rsidR="005E57EE" w:rsidRDefault="005E57EE" w:rsidP="005E57EE">
      <w:pPr>
        <w:spacing w:line="360" w:lineRule="auto"/>
      </w:pPr>
      <w:r w:rsidRPr="00514EE3">
        <w:rPr>
          <w:b/>
        </w:rPr>
        <w:lastRenderedPageBreak/>
        <w:t>Table S1.</w:t>
      </w:r>
      <w:r>
        <w:t xml:space="preserve"> </w:t>
      </w:r>
      <w:proofErr w:type="gramStart"/>
      <w:r>
        <w:t xml:space="preserve">Descriptive statistics of </w:t>
      </w:r>
      <w:proofErr w:type="spellStart"/>
      <w:r>
        <w:t>ciliary</w:t>
      </w:r>
      <w:proofErr w:type="spellEnd"/>
      <w:r>
        <w:t xml:space="preserve"> length measurements.</w:t>
      </w:r>
      <w:proofErr w:type="gramEnd"/>
    </w:p>
    <w:p w:rsidR="005E57EE" w:rsidRDefault="005E57EE" w:rsidP="005E57EE">
      <w:pPr>
        <w:spacing w:line="360" w:lineRule="auto"/>
      </w:pPr>
    </w:p>
    <w:tbl>
      <w:tblPr>
        <w:tblW w:w="10692" w:type="dxa"/>
        <w:tblInd w:w="-542" w:type="dxa"/>
        <w:tblCellMar>
          <w:left w:w="70" w:type="dxa"/>
          <w:right w:w="70" w:type="dxa"/>
        </w:tblCellMar>
        <w:tblLook w:val="0000"/>
      </w:tblPr>
      <w:tblGrid>
        <w:gridCol w:w="1692"/>
        <w:gridCol w:w="2160"/>
        <w:gridCol w:w="900"/>
        <w:gridCol w:w="2520"/>
        <w:gridCol w:w="900"/>
        <w:gridCol w:w="2520"/>
      </w:tblGrid>
      <w:tr w:rsidR="005E57EE">
        <w:trPr>
          <w:trHeight w:val="255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7EE" w:rsidRDefault="005E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7EE" w:rsidRDefault="005E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D44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5E57EE">
              <w:rPr>
                <w:rFonts w:ascii="Arial" w:hAnsi="Arial" w:cs="Arial"/>
                <w:b/>
                <w:bCs/>
                <w:sz w:val="20"/>
                <w:szCs w:val="20"/>
              </w:rPr>
              <w:t>ransfected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untransfected</w:t>
            </w:r>
            <w:proofErr w:type="spellEnd"/>
          </w:p>
        </w:tc>
      </w:tr>
      <w:tr w:rsidR="005E57EE">
        <w:trPr>
          <w:trHeight w:val="255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Cells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transfection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mean length (µm) ± 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mean length (µm) ± SD</w:t>
            </w:r>
          </w:p>
        </w:tc>
      </w:tr>
      <w:tr w:rsidR="005E57EE">
        <w:trPr>
          <w:trHeight w:val="255"/>
        </w:trPr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Rat embryonic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hippocampal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neurons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DCDC2-V5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± 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 ± 1.0</w:t>
            </w:r>
          </w:p>
        </w:tc>
      </w:tr>
      <w:tr w:rsidR="005E57EE">
        <w:trPr>
          <w:trHeight w:val="255"/>
        </w:trPr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EE" w:rsidRDefault="005E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DCDC2-Del1-V5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 ± 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 ± 1.1</w:t>
            </w:r>
          </w:p>
        </w:tc>
      </w:tr>
      <w:tr w:rsidR="005E57EE">
        <w:trPr>
          <w:trHeight w:val="255"/>
        </w:trPr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EE" w:rsidRDefault="005E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DCDC2-Del2-V5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 ± 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 ± 0.9</w:t>
            </w:r>
          </w:p>
        </w:tc>
      </w:tr>
      <w:tr w:rsidR="005E57EE">
        <w:trPr>
          <w:trHeight w:val="255"/>
        </w:trPr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EE" w:rsidRDefault="005E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DCDC2-shRNA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 ± 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 ± 1.0</w:t>
            </w:r>
          </w:p>
        </w:tc>
      </w:tr>
      <w:tr w:rsidR="005E57EE">
        <w:trPr>
          <w:trHeight w:val="255"/>
        </w:trPr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EE" w:rsidRDefault="005E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shRNA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 ± 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 ± 0.7</w:t>
            </w:r>
          </w:p>
        </w:tc>
      </w:tr>
      <w:tr w:rsidR="005E57EE">
        <w:trPr>
          <w:trHeight w:val="255"/>
        </w:trPr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EE" w:rsidRDefault="005E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GFP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 ± 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 ± 0.6</w:t>
            </w:r>
          </w:p>
        </w:tc>
      </w:tr>
      <w:tr w:rsidR="005E57EE">
        <w:trPr>
          <w:trHeight w:val="255"/>
        </w:trPr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NIH</w:t>
            </w:r>
            <w:r w:rsidR="009F05F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3T3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DCDC2-V5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 ± 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 ± 2.0</w:t>
            </w:r>
          </w:p>
        </w:tc>
      </w:tr>
      <w:tr w:rsidR="005E57EE">
        <w:trPr>
          <w:trHeight w:val="255"/>
        </w:trPr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EE" w:rsidRDefault="005E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DCDC2-Del1-V5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 ± 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 ± 1.5</w:t>
            </w:r>
          </w:p>
        </w:tc>
      </w:tr>
      <w:tr w:rsidR="005E57EE">
        <w:trPr>
          <w:trHeight w:val="255"/>
        </w:trPr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EE" w:rsidRDefault="005E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DCDC2-Del2-V5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 ± 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 ± 1.6</w:t>
            </w:r>
          </w:p>
        </w:tc>
      </w:tr>
      <w:tr w:rsidR="005E57EE">
        <w:trPr>
          <w:trHeight w:val="255"/>
        </w:trPr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EE" w:rsidRDefault="005E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DCDC2-shRNA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 ± 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 ± 1.2</w:t>
            </w:r>
          </w:p>
        </w:tc>
      </w:tr>
      <w:tr w:rsidR="005E57EE">
        <w:trPr>
          <w:trHeight w:val="255"/>
        </w:trPr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EE" w:rsidRDefault="005E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shRNA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 ± 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 ± 1.4</w:t>
            </w:r>
          </w:p>
        </w:tc>
      </w:tr>
      <w:tr w:rsidR="005E57EE">
        <w:trPr>
          <w:trHeight w:val="255"/>
        </w:trPr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EE" w:rsidRDefault="005E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GFP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 ± 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7EE" w:rsidRDefault="005E5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 ± 1.2</w:t>
            </w:r>
          </w:p>
        </w:tc>
      </w:tr>
    </w:tbl>
    <w:p w:rsidR="004D295D" w:rsidRDefault="004D295D" w:rsidP="005E57EE">
      <w:pPr>
        <w:spacing w:line="360" w:lineRule="auto"/>
      </w:pPr>
    </w:p>
    <w:p w:rsidR="002E058D" w:rsidRDefault="004D295D" w:rsidP="0014218B">
      <w:pPr>
        <w:spacing w:line="360" w:lineRule="auto"/>
      </w:pPr>
      <w:r>
        <w:br w:type="page"/>
      </w:r>
    </w:p>
    <w:p w:rsidR="002E058D" w:rsidRDefault="002E058D" w:rsidP="002E058D"/>
    <w:p w:rsidR="00C30574" w:rsidRDefault="00D544EA" w:rsidP="00C30574">
      <w:pPr>
        <w:rPr>
          <w:bCs/>
        </w:rPr>
      </w:pPr>
      <w:r w:rsidRPr="00B85A89">
        <w:rPr>
          <w:b/>
          <w:bCs/>
        </w:rPr>
        <w:t>Table S</w:t>
      </w:r>
      <w:r w:rsidR="0014218B">
        <w:rPr>
          <w:b/>
          <w:bCs/>
        </w:rPr>
        <w:t>2</w:t>
      </w:r>
      <w:r w:rsidRPr="00B85A89">
        <w:rPr>
          <w:b/>
          <w:bCs/>
        </w:rPr>
        <w:t>.</w:t>
      </w:r>
      <w:r>
        <w:rPr>
          <w:bCs/>
        </w:rPr>
        <w:t xml:space="preserve"> Primers used for </w:t>
      </w:r>
      <w:proofErr w:type="spellStart"/>
      <w:r>
        <w:rPr>
          <w:bCs/>
        </w:rPr>
        <w:t>qPCR</w:t>
      </w:r>
      <w:proofErr w:type="spellEnd"/>
      <w:r>
        <w:rPr>
          <w:bCs/>
        </w:rPr>
        <w:t xml:space="preserve"> confirmation of microarray results.</w:t>
      </w:r>
    </w:p>
    <w:tbl>
      <w:tblPr>
        <w:tblpPr w:leftFromText="141" w:rightFromText="141" w:vertAnchor="page" w:horzAnchor="margin" w:tblpY="21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960"/>
        <w:gridCol w:w="3780"/>
      </w:tblGrid>
      <w:tr w:rsidR="0013667E" w:rsidRPr="00B85A89" w:rsidTr="0013667E">
        <w:tc>
          <w:tcPr>
            <w:tcW w:w="1008" w:type="dxa"/>
          </w:tcPr>
          <w:p w:rsidR="0013667E" w:rsidRPr="00B85A89" w:rsidRDefault="0013667E" w:rsidP="001366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A89">
              <w:rPr>
                <w:rFonts w:ascii="Arial" w:hAnsi="Arial" w:cs="Arial"/>
                <w:b/>
                <w:sz w:val="20"/>
                <w:szCs w:val="20"/>
              </w:rPr>
              <w:t>Gene name</w:t>
            </w:r>
          </w:p>
        </w:tc>
        <w:tc>
          <w:tcPr>
            <w:tcW w:w="3960" w:type="dxa"/>
          </w:tcPr>
          <w:p w:rsidR="0013667E" w:rsidRPr="00B85A89" w:rsidRDefault="0013667E" w:rsidP="001366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A89">
              <w:rPr>
                <w:rFonts w:ascii="Arial" w:hAnsi="Arial" w:cs="Arial"/>
                <w:b/>
                <w:sz w:val="20"/>
                <w:szCs w:val="20"/>
              </w:rPr>
              <w:t>Forward primer</w:t>
            </w:r>
          </w:p>
        </w:tc>
        <w:tc>
          <w:tcPr>
            <w:tcW w:w="3780" w:type="dxa"/>
          </w:tcPr>
          <w:p w:rsidR="0013667E" w:rsidRPr="00B85A89" w:rsidRDefault="0013667E" w:rsidP="001366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A89">
              <w:rPr>
                <w:rFonts w:ascii="Arial" w:hAnsi="Arial" w:cs="Arial"/>
                <w:b/>
                <w:sz w:val="20"/>
                <w:szCs w:val="20"/>
              </w:rPr>
              <w:t>Reverse primer</w:t>
            </w:r>
          </w:p>
        </w:tc>
      </w:tr>
      <w:tr w:rsidR="0013667E" w:rsidRPr="00B85A89" w:rsidTr="0013667E">
        <w:tc>
          <w:tcPr>
            <w:tcW w:w="1008" w:type="dxa"/>
          </w:tcPr>
          <w:p w:rsidR="0013667E" w:rsidRPr="00B85A89" w:rsidRDefault="0013667E" w:rsidP="001366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5A89">
              <w:rPr>
                <w:rFonts w:ascii="Arial" w:hAnsi="Arial" w:cs="Arial"/>
                <w:sz w:val="20"/>
                <w:szCs w:val="20"/>
              </w:rPr>
              <w:t>Pdgfra</w:t>
            </w:r>
            <w:proofErr w:type="spellEnd"/>
          </w:p>
        </w:tc>
        <w:tc>
          <w:tcPr>
            <w:tcW w:w="3960" w:type="dxa"/>
          </w:tcPr>
          <w:p w:rsidR="0013667E" w:rsidRPr="00B85A89" w:rsidRDefault="0013667E" w:rsidP="0013667E">
            <w:pPr>
              <w:rPr>
                <w:sz w:val="20"/>
                <w:szCs w:val="20"/>
              </w:rPr>
            </w:pPr>
            <w:r w:rsidRPr="00B85A89">
              <w:rPr>
                <w:sz w:val="20"/>
                <w:szCs w:val="20"/>
              </w:rPr>
              <w:t>ACGTTCAAGACCAGCGAGTT</w:t>
            </w:r>
          </w:p>
        </w:tc>
        <w:tc>
          <w:tcPr>
            <w:tcW w:w="3780" w:type="dxa"/>
          </w:tcPr>
          <w:p w:rsidR="0013667E" w:rsidRPr="00B85A89" w:rsidRDefault="0013667E" w:rsidP="0013667E">
            <w:pPr>
              <w:rPr>
                <w:sz w:val="20"/>
                <w:szCs w:val="20"/>
              </w:rPr>
            </w:pPr>
            <w:r w:rsidRPr="00B85A89">
              <w:rPr>
                <w:sz w:val="20"/>
                <w:szCs w:val="20"/>
              </w:rPr>
              <w:t>CGATCGTTTCTCCTGCCTTA</w:t>
            </w:r>
          </w:p>
        </w:tc>
      </w:tr>
      <w:tr w:rsidR="0013667E" w:rsidRPr="00B85A89" w:rsidTr="0013667E">
        <w:tc>
          <w:tcPr>
            <w:tcW w:w="1008" w:type="dxa"/>
          </w:tcPr>
          <w:p w:rsidR="0013667E" w:rsidRPr="00B85A89" w:rsidRDefault="0013667E" w:rsidP="0013667E">
            <w:pPr>
              <w:rPr>
                <w:rFonts w:ascii="Arial" w:hAnsi="Arial" w:cs="Arial"/>
                <w:sz w:val="20"/>
                <w:szCs w:val="20"/>
              </w:rPr>
            </w:pPr>
            <w:r w:rsidRPr="00B85A89">
              <w:rPr>
                <w:rFonts w:ascii="Arial" w:hAnsi="Arial" w:cs="Arial"/>
                <w:sz w:val="20"/>
                <w:szCs w:val="20"/>
              </w:rPr>
              <w:t>Kif2c</w:t>
            </w:r>
          </w:p>
        </w:tc>
        <w:tc>
          <w:tcPr>
            <w:tcW w:w="3960" w:type="dxa"/>
          </w:tcPr>
          <w:p w:rsidR="0013667E" w:rsidRPr="00B85A89" w:rsidRDefault="0013667E" w:rsidP="0013667E">
            <w:pPr>
              <w:rPr>
                <w:sz w:val="20"/>
                <w:szCs w:val="20"/>
              </w:rPr>
            </w:pPr>
            <w:r w:rsidRPr="00B85A89">
              <w:rPr>
                <w:sz w:val="20"/>
                <w:szCs w:val="20"/>
              </w:rPr>
              <w:t>CGGTGAACTTGGAGAAATCC</w:t>
            </w:r>
          </w:p>
        </w:tc>
        <w:tc>
          <w:tcPr>
            <w:tcW w:w="3780" w:type="dxa"/>
          </w:tcPr>
          <w:p w:rsidR="0013667E" w:rsidRPr="00B85A89" w:rsidRDefault="0013667E" w:rsidP="0013667E">
            <w:pPr>
              <w:rPr>
                <w:sz w:val="20"/>
                <w:szCs w:val="20"/>
              </w:rPr>
            </w:pPr>
            <w:r w:rsidRPr="00B85A89">
              <w:rPr>
                <w:sz w:val="20"/>
                <w:szCs w:val="20"/>
              </w:rPr>
              <w:t>TTCGGTCGTAAGGGAAGAAG</w:t>
            </w:r>
          </w:p>
        </w:tc>
      </w:tr>
      <w:tr w:rsidR="0013667E" w:rsidRPr="00B85A89" w:rsidTr="0013667E">
        <w:tc>
          <w:tcPr>
            <w:tcW w:w="1008" w:type="dxa"/>
          </w:tcPr>
          <w:p w:rsidR="0013667E" w:rsidRPr="00B85A89" w:rsidRDefault="0013667E" w:rsidP="0013667E">
            <w:pPr>
              <w:rPr>
                <w:rFonts w:ascii="Arial" w:hAnsi="Arial" w:cs="Arial"/>
                <w:sz w:val="20"/>
                <w:szCs w:val="20"/>
              </w:rPr>
            </w:pPr>
            <w:r w:rsidRPr="00B85A89">
              <w:rPr>
                <w:rFonts w:ascii="Arial" w:hAnsi="Arial" w:cs="Arial"/>
                <w:sz w:val="20"/>
                <w:szCs w:val="20"/>
              </w:rPr>
              <w:t>Kif4</w:t>
            </w:r>
          </w:p>
        </w:tc>
        <w:tc>
          <w:tcPr>
            <w:tcW w:w="3960" w:type="dxa"/>
          </w:tcPr>
          <w:p w:rsidR="0013667E" w:rsidRPr="00B85A89" w:rsidRDefault="0013667E" w:rsidP="0013667E">
            <w:pPr>
              <w:rPr>
                <w:sz w:val="20"/>
                <w:szCs w:val="20"/>
              </w:rPr>
            </w:pPr>
            <w:r w:rsidRPr="00B85A89">
              <w:rPr>
                <w:sz w:val="20"/>
                <w:szCs w:val="20"/>
              </w:rPr>
              <w:t>TGACTTTGAATTTACTCTGAAAGTGTC</w:t>
            </w:r>
          </w:p>
        </w:tc>
        <w:tc>
          <w:tcPr>
            <w:tcW w:w="3780" w:type="dxa"/>
          </w:tcPr>
          <w:p w:rsidR="0013667E" w:rsidRPr="00B85A89" w:rsidRDefault="0013667E" w:rsidP="0013667E">
            <w:pPr>
              <w:rPr>
                <w:sz w:val="20"/>
                <w:szCs w:val="20"/>
              </w:rPr>
            </w:pPr>
            <w:r w:rsidRPr="00B85A89">
              <w:rPr>
                <w:sz w:val="20"/>
                <w:szCs w:val="20"/>
              </w:rPr>
              <w:t>CCCGGATATTTATTTGAGATGC</w:t>
            </w:r>
          </w:p>
        </w:tc>
      </w:tr>
      <w:tr w:rsidR="0013667E" w:rsidRPr="00B85A89" w:rsidTr="0013667E">
        <w:tc>
          <w:tcPr>
            <w:tcW w:w="1008" w:type="dxa"/>
          </w:tcPr>
          <w:p w:rsidR="0013667E" w:rsidRPr="00B85A89" w:rsidRDefault="0013667E" w:rsidP="001366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5A89">
              <w:rPr>
                <w:rFonts w:ascii="Arial" w:hAnsi="Arial" w:cs="Arial"/>
                <w:sz w:val="20"/>
                <w:szCs w:val="20"/>
              </w:rPr>
              <w:t>Hhip</w:t>
            </w:r>
            <w:proofErr w:type="spellEnd"/>
          </w:p>
        </w:tc>
        <w:tc>
          <w:tcPr>
            <w:tcW w:w="3960" w:type="dxa"/>
          </w:tcPr>
          <w:p w:rsidR="0013667E" w:rsidRPr="00B85A89" w:rsidRDefault="0013667E" w:rsidP="0013667E">
            <w:pPr>
              <w:rPr>
                <w:sz w:val="20"/>
                <w:szCs w:val="20"/>
              </w:rPr>
            </w:pPr>
            <w:r w:rsidRPr="00B85A89">
              <w:rPr>
                <w:sz w:val="20"/>
                <w:szCs w:val="20"/>
              </w:rPr>
              <w:t>GCACTTCCACTCCTCTGCAA</w:t>
            </w:r>
          </w:p>
        </w:tc>
        <w:tc>
          <w:tcPr>
            <w:tcW w:w="3780" w:type="dxa"/>
          </w:tcPr>
          <w:p w:rsidR="0013667E" w:rsidRPr="00B85A89" w:rsidRDefault="0013667E" w:rsidP="0013667E">
            <w:pPr>
              <w:rPr>
                <w:sz w:val="20"/>
                <w:szCs w:val="20"/>
              </w:rPr>
            </w:pPr>
            <w:r w:rsidRPr="00B85A89">
              <w:rPr>
                <w:sz w:val="20"/>
                <w:szCs w:val="20"/>
              </w:rPr>
              <w:t>AGCAAAATTCATCAGCAGTTGT</w:t>
            </w:r>
          </w:p>
        </w:tc>
      </w:tr>
      <w:tr w:rsidR="0013667E" w:rsidRPr="00B85A89" w:rsidTr="0013667E">
        <w:tc>
          <w:tcPr>
            <w:tcW w:w="1008" w:type="dxa"/>
          </w:tcPr>
          <w:p w:rsidR="0013667E" w:rsidRPr="00B85A89" w:rsidRDefault="0013667E" w:rsidP="0013667E">
            <w:pPr>
              <w:rPr>
                <w:rFonts w:ascii="Arial" w:hAnsi="Arial" w:cs="Arial"/>
                <w:sz w:val="20"/>
                <w:szCs w:val="20"/>
              </w:rPr>
            </w:pPr>
            <w:r w:rsidRPr="00B85A89">
              <w:rPr>
                <w:rFonts w:ascii="Arial" w:hAnsi="Arial" w:cs="Arial"/>
                <w:sz w:val="20"/>
                <w:szCs w:val="20"/>
              </w:rPr>
              <w:t>Cdc2</w:t>
            </w:r>
          </w:p>
        </w:tc>
        <w:tc>
          <w:tcPr>
            <w:tcW w:w="3960" w:type="dxa"/>
          </w:tcPr>
          <w:p w:rsidR="0013667E" w:rsidRPr="00B85A89" w:rsidRDefault="0013667E" w:rsidP="0013667E">
            <w:pPr>
              <w:rPr>
                <w:sz w:val="20"/>
                <w:szCs w:val="20"/>
              </w:rPr>
            </w:pPr>
            <w:r w:rsidRPr="00B85A89">
              <w:rPr>
                <w:sz w:val="20"/>
                <w:szCs w:val="20"/>
              </w:rPr>
              <w:t>CCTGGACTCTATCCCTCCTG</w:t>
            </w:r>
          </w:p>
        </w:tc>
        <w:tc>
          <w:tcPr>
            <w:tcW w:w="3780" w:type="dxa"/>
          </w:tcPr>
          <w:p w:rsidR="0013667E" w:rsidRPr="00B85A89" w:rsidRDefault="0013667E" w:rsidP="0013667E">
            <w:pPr>
              <w:rPr>
                <w:sz w:val="20"/>
                <w:szCs w:val="20"/>
              </w:rPr>
            </w:pPr>
            <w:r w:rsidRPr="00B85A89">
              <w:rPr>
                <w:sz w:val="20"/>
                <w:szCs w:val="20"/>
              </w:rPr>
              <w:t>CTCGTCGGGAGTGACAAAAC</w:t>
            </w:r>
          </w:p>
        </w:tc>
      </w:tr>
      <w:tr w:rsidR="0013667E" w:rsidRPr="00B85A89" w:rsidTr="0013667E">
        <w:tc>
          <w:tcPr>
            <w:tcW w:w="1008" w:type="dxa"/>
          </w:tcPr>
          <w:p w:rsidR="0013667E" w:rsidRPr="00B85A89" w:rsidRDefault="0013667E" w:rsidP="001366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5A89">
              <w:rPr>
                <w:rFonts w:ascii="Arial" w:hAnsi="Arial" w:cs="Arial"/>
                <w:sz w:val="20"/>
                <w:szCs w:val="20"/>
              </w:rPr>
              <w:t>Ppia</w:t>
            </w:r>
            <w:proofErr w:type="spellEnd"/>
          </w:p>
        </w:tc>
        <w:tc>
          <w:tcPr>
            <w:tcW w:w="3960" w:type="dxa"/>
          </w:tcPr>
          <w:p w:rsidR="0013667E" w:rsidRPr="00B85A89" w:rsidRDefault="0013667E" w:rsidP="0013667E">
            <w:pPr>
              <w:rPr>
                <w:sz w:val="20"/>
                <w:szCs w:val="20"/>
              </w:rPr>
            </w:pPr>
            <w:r w:rsidRPr="00B85A89">
              <w:rPr>
                <w:sz w:val="20"/>
                <w:szCs w:val="20"/>
              </w:rPr>
              <w:t>AGGGTTCCTCCTTTCACAGA</w:t>
            </w:r>
          </w:p>
        </w:tc>
        <w:tc>
          <w:tcPr>
            <w:tcW w:w="3780" w:type="dxa"/>
          </w:tcPr>
          <w:p w:rsidR="0013667E" w:rsidRPr="00B85A89" w:rsidRDefault="0013667E" w:rsidP="0013667E">
            <w:pPr>
              <w:rPr>
                <w:sz w:val="20"/>
                <w:szCs w:val="20"/>
              </w:rPr>
            </w:pPr>
            <w:r w:rsidRPr="00B85A89">
              <w:rPr>
                <w:sz w:val="20"/>
                <w:szCs w:val="20"/>
              </w:rPr>
              <w:t>ATCCAGCCATTCAGTCTTGG</w:t>
            </w:r>
          </w:p>
        </w:tc>
      </w:tr>
      <w:tr w:rsidR="0013667E" w:rsidRPr="00B85A89" w:rsidTr="0013667E">
        <w:tc>
          <w:tcPr>
            <w:tcW w:w="1008" w:type="dxa"/>
          </w:tcPr>
          <w:p w:rsidR="0013667E" w:rsidRPr="00B85A89" w:rsidRDefault="0013667E" w:rsidP="001366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5A89">
              <w:rPr>
                <w:rFonts w:ascii="Arial" w:hAnsi="Arial" w:cs="Arial"/>
                <w:sz w:val="20"/>
                <w:szCs w:val="20"/>
              </w:rPr>
              <w:t>Hprt</w:t>
            </w:r>
            <w:proofErr w:type="spellEnd"/>
          </w:p>
        </w:tc>
        <w:tc>
          <w:tcPr>
            <w:tcW w:w="3960" w:type="dxa"/>
          </w:tcPr>
          <w:p w:rsidR="0013667E" w:rsidRPr="00B85A89" w:rsidRDefault="0013667E" w:rsidP="0013667E">
            <w:pPr>
              <w:rPr>
                <w:sz w:val="20"/>
                <w:szCs w:val="20"/>
              </w:rPr>
            </w:pPr>
            <w:r w:rsidRPr="00B85A89">
              <w:rPr>
                <w:sz w:val="20"/>
                <w:szCs w:val="20"/>
              </w:rPr>
              <w:t>CTCATGGACTGATTATGGACAGGAC</w:t>
            </w:r>
          </w:p>
        </w:tc>
        <w:tc>
          <w:tcPr>
            <w:tcW w:w="3780" w:type="dxa"/>
          </w:tcPr>
          <w:p w:rsidR="0013667E" w:rsidRPr="00B85A89" w:rsidRDefault="0013667E" w:rsidP="0013667E">
            <w:pPr>
              <w:rPr>
                <w:sz w:val="20"/>
                <w:szCs w:val="20"/>
              </w:rPr>
            </w:pPr>
            <w:r w:rsidRPr="00B85A89">
              <w:rPr>
                <w:sz w:val="20"/>
                <w:szCs w:val="20"/>
              </w:rPr>
              <w:t>GCAGGTCAGCAAAGAACTTATAGCC</w:t>
            </w:r>
          </w:p>
        </w:tc>
      </w:tr>
    </w:tbl>
    <w:p w:rsidR="004A324D" w:rsidRDefault="00F43555" w:rsidP="004A324D">
      <w:pPr>
        <w:rPr>
          <w:rFonts w:ascii="Arial" w:hAnsi="Arial" w:cs="Arial"/>
          <w:b/>
          <w:i/>
          <w:sz w:val="28"/>
          <w:szCs w:val="28"/>
        </w:rPr>
      </w:pPr>
      <w:r>
        <w:br w:type="page"/>
      </w:r>
      <w:r w:rsidRPr="00F43555">
        <w:rPr>
          <w:rFonts w:ascii="Arial" w:hAnsi="Arial" w:cs="Arial"/>
          <w:b/>
          <w:i/>
          <w:sz w:val="28"/>
          <w:szCs w:val="28"/>
        </w:rPr>
        <w:lastRenderedPageBreak/>
        <w:t>Supplementary references</w:t>
      </w:r>
    </w:p>
    <w:p w:rsidR="0014218B" w:rsidRPr="00F8414F" w:rsidRDefault="00555BF6">
      <w:pPr>
        <w:pStyle w:val="NormalWeb"/>
        <w:divId w:val="938875018"/>
      </w:pPr>
      <w:r w:rsidRPr="00F8414F">
        <w:fldChar w:fldCharType="begin"/>
      </w:r>
      <w:r w:rsidR="0014218B" w:rsidRPr="00F8414F">
        <w:instrText>ADDIN RW.BIB</w:instrText>
      </w:r>
      <w:r w:rsidRPr="00F8414F">
        <w:fldChar w:fldCharType="separate"/>
      </w:r>
      <w:r w:rsidR="0014218B" w:rsidRPr="00F8414F">
        <w:t>1. Yu JY, DeRuiter SL &amp; Turner DL (2002) RNA interference by expression of short-interfering RNAs and hairpin RNAs in mammalian cells</w:t>
      </w:r>
      <w:r w:rsidR="0014218B" w:rsidRPr="00F8414F">
        <w:rPr>
          <w:iCs/>
        </w:rPr>
        <w:t xml:space="preserve">. Proc Natl Acad Sci U S </w:t>
      </w:r>
      <w:proofErr w:type="gramStart"/>
      <w:r w:rsidR="0014218B" w:rsidRPr="00F8414F">
        <w:rPr>
          <w:iCs/>
        </w:rPr>
        <w:t>A</w:t>
      </w:r>
      <w:proofErr w:type="gramEnd"/>
      <w:r w:rsidR="0014218B" w:rsidRPr="00F8414F">
        <w:rPr>
          <w:iCs/>
        </w:rPr>
        <w:t xml:space="preserve"> </w:t>
      </w:r>
      <w:r w:rsidR="0014218B" w:rsidRPr="00F8414F">
        <w:t xml:space="preserve">99: 6047-6052. </w:t>
      </w:r>
    </w:p>
    <w:p w:rsidR="0014218B" w:rsidRPr="00F8414F" w:rsidRDefault="0014218B">
      <w:pPr>
        <w:pStyle w:val="NormalWeb"/>
        <w:divId w:val="938875018"/>
      </w:pPr>
      <w:r w:rsidRPr="00F8414F">
        <w:t xml:space="preserve">2. </w:t>
      </w:r>
      <w:proofErr w:type="spellStart"/>
      <w:r w:rsidR="00F8414F" w:rsidRPr="00F8414F">
        <w:t>Meng</w:t>
      </w:r>
      <w:proofErr w:type="spellEnd"/>
      <w:r w:rsidR="00F8414F" w:rsidRPr="00F8414F">
        <w:t xml:space="preserve"> H, Smith SD, Hager K, Held M, Liu J</w:t>
      </w:r>
      <w:r w:rsidR="00F8414F" w:rsidRPr="00F8414F">
        <w:rPr>
          <w:iCs/>
        </w:rPr>
        <w:t xml:space="preserve">  et al</w:t>
      </w:r>
      <w:r w:rsidR="00F8414F" w:rsidRPr="00F8414F">
        <w:t xml:space="preserve"> (2005) DCDC2 is associated with reading disability and modulates neuronal development in the brain</w:t>
      </w:r>
      <w:r w:rsidR="00F8414F" w:rsidRPr="00F8414F">
        <w:rPr>
          <w:iCs/>
        </w:rPr>
        <w:t xml:space="preserve">. Proc </w:t>
      </w:r>
      <w:proofErr w:type="spellStart"/>
      <w:r w:rsidR="00F8414F" w:rsidRPr="00F8414F">
        <w:rPr>
          <w:iCs/>
        </w:rPr>
        <w:t>Natl</w:t>
      </w:r>
      <w:proofErr w:type="spellEnd"/>
      <w:r w:rsidR="00F8414F" w:rsidRPr="00F8414F">
        <w:rPr>
          <w:iCs/>
        </w:rPr>
        <w:t xml:space="preserve"> </w:t>
      </w:r>
      <w:proofErr w:type="spellStart"/>
      <w:r w:rsidR="00F8414F" w:rsidRPr="00F8414F">
        <w:rPr>
          <w:iCs/>
        </w:rPr>
        <w:t>Acad</w:t>
      </w:r>
      <w:proofErr w:type="spellEnd"/>
      <w:r w:rsidR="00F8414F" w:rsidRPr="00F8414F">
        <w:rPr>
          <w:iCs/>
        </w:rPr>
        <w:t xml:space="preserve"> </w:t>
      </w:r>
      <w:proofErr w:type="spellStart"/>
      <w:r w:rsidR="00F8414F" w:rsidRPr="00F8414F">
        <w:rPr>
          <w:iCs/>
        </w:rPr>
        <w:t>Sci</w:t>
      </w:r>
      <w:proofErr w:type="spellEnd"/>
      <w:r w:rsidR="00F8414F" w:rsidRPr="00F8414F">
        <w:rPr>
          <w:iCs/>
        </w:rPr>
        <w:t xml:space="preserve"> U S </w:t>
      </w:r>
      <w:proofErr w:type="gramStart"/>
      <w:r w:rsidR="00F8414F" w:rsidRPr="00F8414F">
        <w:rPr>
          <w:iCs/>
        </w:rPr>
        <w:t>A</w:t>
      </w:r>
      <w:proofErr w:type="gramEnd"/>
      <w:r w:rsidR="00F8414F" w:rsidRPr="00F8414F">
        <w:rPr>
          <w:iCs/>
        </w:rPr>
        <w:t xml:space="preserve"> </w:t>
      </w:r>
      <w:r w:rsidR="00F8414F" w:rsidRPr="00F8414F">
        <w:t>102: 17053-17058.</w:t>
      </w:r>
      <w:r w:rsidRPr="00F8414F">
        <w:t xml:space="preserve"> </w:t>
      </w:r>
    </w:p>
    <w:p w:rsidR="0014218B" w:rsidRPr="00F8414F" w:rsidRDefault="0014218B">
      <w:pPr>
        <w:pStyle w:val="NormalWeb"/>
        <w:divId w:val="938875018"/>
      </w:pPr>
      <w:proofErr w:type="gramStart"/>
      <w:r w:rsidRPr="00F8414F">
        <w:t>3.</w:t>
      </w:r>
      <w:r w:rsidR="00F8414F" w:rsidRPr="00F8414F">
        <w:t>Fredriksson</w:t>
      </w:r>
      <w:proofErr w:type="gramEnd"/>
      <w:r w:rsidR="00F8414F" w:rsidRPr="00F8414F">
        <w:t xml:space="preserve"> S, </w:t>
      </w:r>
      <w:proofErr w:type="spellStart"/>
      <w:r w:rsidR="00F8414F" w:rsidRPr="00F8414F">
        <w:t>Gullberg</w:t>
      </w:r>
      <w:proofErr w:type="spellEnd"/>
      <w:r w:rsidR="00F8414F" w:rsidRPr="00F8414F">
        <w:t xml:space="preserve"> M, Jarvis J, Olsson C, </w:t>
      </w:r>
      <w:proofErr w:type="spellStart"/>
      <w:r w:rsidR="00F8414F" w:rsidRPr="00F8414F">
        <w:t>Pietras</w:t>
      </w:r>
      <w:proofErr w:type="spellEnd"/>
      <w:r w:rsidR="00F8414F" w:rsidRPr="00F8414F">
        <w:t xml:space="preserve"> K</w:t>
      </w:r>
      <w:r w:rsidR="00F8414F" w:rsidRPr="00F8414F">
        <w:rPr>
          <w:iCs/>
        </w:rPr>
        <w:t xml:space="preserve"> et al</w:t>
      </w:r>
      <w:r w:rsidR="00F8414F" w:rsidRPr="00F8414F">
        <w:t xml:space="preserve"> (2002) Protein detection using proximity-dependent DNA ligation assays</w:t>
      </w:r>
      <w:r w:rsidR="00F8414F" w:rsidRPr="00F8414F">
        <w:rPr>
          <w:iCs/>
        </w:rPr>
        <w:t xml:space="preserve">. Nat </w:t>
      </w:r>
      <w:proofErr w:type="spellStart"/>
      <w:r w:rsidR="00F8414F" w:rsidRPr="00F8414F">
        <w:rPr>
          <w:iCs/>
        </w:rPr>
        <w:t>Biotechnol</w:t>
      </w:r>
      <w:proofErr w:type="spellEnd"/>
      <w:r w:rsidR="00F8414F" w:rsidRPr="00F8414F">
        <w:rPr>
          <w:iCs/>
        </w:rPr>
        <w:t xml:space="preserve"> </w:t>
      </w:r>
      <w:r w:rsidR="00F8414F" w:rsidRPr="00F8414F">
        <w:t xml:space="preserve">20: 473-477. </w:t>
      </w:r>
    </w:p>
    <w:p w:rsidR="0014218B" w:rsidRPr="00F8414F" w:rsidRDefault="0014218B">
      <w:pPr>
        <w:pStyle w:val="NormalWeb"/>
        <w:divId w:val="938875018"/>
      </w:pPr>
      <w:r w:rsidRPr="00F8414F">
        <w:t xml:space="preserve">4. </w:t>
      </w:r>
      <w:proofErr w:type="spellStart"/>
      <w:r w:rsidRPr="00F8414F">
        <w:t>Soderberg</w:t>
      </w:r>
      <w:proofErr w:type="spellEnd"/>
      <w:r w:rsidRPr="00F8414F">
        <w:t xml:space="preserve"> O</w:t>
      </w:r>
      <w:r w:rsidR="00F8414F" w:rsidRPr="00F8414F">
        <w:t xml:space="preserve">, </w:t>
      </w:r>
      <w:proofErr w:type="spellStart"/>
      <w:r w:rsidR="00F8414F" w:rsidRPr="00F8414F">
        <w:t>Gullberg</w:t>
      </w:r>
      <w:proofErr w:type="spellEnd"/>
      <w:r w:rsidR="00F8414F" w:rsidRPr="00F8414F">
        <w:t xml:space="preserve"> M, </w:t>
      </w:r>
      <w:proofErr w:type="spellStart"/>
      <w:r w:rsidR="00F8414F" w:rsidRPr="00F8414F">
        <w:t>Jarvius</w:t>
      </w:r>
      <w:proofErr w:type="spellEnd"/>
      <w:r w:rsidR="00F8414F" w:rsidRPr="00F8414F">
        <w:t xml:space="preserve"> M, </w:t>
      </w:r>
      <w:proofErr w:type="spellStart"/>
      <w:r w:rsidR="00F8414F" w:rsidRPr="00F8414F">
        <w:t>Ridderstrale</w:t>
      </w:r>
      <w:proofErr w:type="spellEnd"/>
      <w:r w:rsidR="00F8414F" w:rsidRPr="00F8414F">
        <w:t xml:space="preserve"> K, </w:t>
      </w:r>
      <w:proofErr w:type="spellStart"/>
      <w:r w:rsidR="00F8414F" w:rsidRPr="00F8414F">
        <w:t>Leuchowius</w:t>
      </w:r>
      <w:proofErr w:type="spellEnd"/>
      <w:r w:rsidR="00F8414F" w:rsidRPr="00F8414F">
        <w:t xml:space="preserve"> KJ</w:t>
      </w:r>
      <w:r w:rsidRPr="00F8414F">
        <w:rPr>
          <w:iCs/>
        </w:rPr>
        <w:t xml:space="preserve"> et al</w:t>
      </w:r>
      <w:r w:rsidRPr="00F8414F">
        <w:t xml:space="preserve"> (2006) Direct observation of individual endogenous protein complexes in situ by proximity ligation</w:t>
      </w:r>
      <w:r w:rsidRPr="00F8414F">
        <w:rPr>
          <w:iCs/>
        </w:rPr>
        <w:t xml:space="preserve">. Nat Methods </w:t>
      </w:r>
      <w:r w:rsidRPr="00F8414F">
        <w:t xml:space="preserve">3: 995-1000. </w:t>
      </w:r>
    </w:p>
    <w:p w:rsidR="0014218B" w:rsidRPr="00F8414F" w:rsidRDefault="0014218B">
      <w:pPr>
        <w:pStyle w:val="NormalWeb"/>
        <w:divId w:val="938875018"/>
      </w:pPr>
      <w:r w:rsidRPr="00F8414F">
        <w:t>5. Yu S, Avery L, Baude E &amp; Garbers DL (1997) Guanylyl cyclase expression in specific sensory neurons: A new family of chemosensory receptors</w:t>
      </w:r>
      <w:r w:rsidRPr="00F8414F">
        <w:rPr>
          <w:iCs/>
        </w:rPr>
        <w:t xml:space="preserve">. Proc Natl Acad Sci U S </w:t>
      </w:r>
      <w:proofErr w:type="gramStart"/>
      <w:r w:rsidRPr="00F8414F">
        <w:rPr>
          <w:iCs/>
        </w:rPr>
        <w:t>A</w:t>
      </w:r>
      <w:proofErr w:type="gramEnd"/>
      <w:r w:rsidRPr="00F8414F">
        <w:rPr>
          <w:iCs/>
        </w:rPr>
        <w:t xml:space="preserve"> </w:t>
      </w:r>
      <w:r w:rsidRPr="00F8414F">
        <w:t xml:space="preserve">94: 3384-3387. </w:t>
      </w:r>
    </w:p>
    <w:p w:rsidR="0014218B" w:rsidRPr="00F8414F" w:rsidRDefault="0014218B">
      <w:pPr>
        <w:pStyle w:val="NormalWeb"/>
        <w:divId w:val="938875018"/>
      </w:pPr>
      <w:r w:rsidRPr="00F8414F">
        <w:t>6. Gautier L, Cope L, Bolstad BM &amp; Irizarry RA (2004) Affy--analysis of affymetrix GeneChip data at the probe level</w:t>
      </w:r>
      <w:r w:rsidRPr="00F8414F">
        <w:rPr>
          <w:iCs/>
        </w:rPr>
        <w:t xml:space="preserve">. Bioinformatics </w:t>
      </w:r>
      <w:r w:rsidRPr="00F8414F">
        <w:t xml:space="preserve">20: 307-315. </w:t>
      </w:r>
    </w:p>
    <w:p w:rsidR="0014218B" w:rsidRPr="00F8414F" w:rsidRDefault="0014218B">
      <w:pPr>
        <w:pStyle w:val="NormalWeb"/>
        <w:divId w:val="938875018"/>
      </w:pPr>
      <w:r w:rsidRPr="00F8414F">
        <w:t xml:space="preserve">7. Smyth GK (2004) </w:t>
      </w:r>
      <w:proofErr w:type="gramStart"/>
      <w:r w:rsidRPr="00F8414F">
        <w:t>Linear</w:t>
      </w:r>
      <w:proofErr w:type="gramEnd"/>
      <w:r w:rsidRPr="00F8414F">
        <w:t xml:space="preserve"> models and empirical bayes methods for assessing differential expression in microarray experiments</w:t>
      </w:r>
      <w:r w:rsidRPr="00F8414F">
        <w:rPr>
          <w:iCs/>
        </w:rPr>
        <w:t xml:space="preserve">. Stat Appl Genet Mol Biol </w:t>
      </w:r>
      <w:r w:rsidRPr="00F8414F">
        <w:t xml:space="preserve">3: Article3. </w:t>
      </w:r>
    </w:p>
    <w:p w:rsidR="0014218B" w:rsidRPr="00F8414F" w:rsidRDefault="0014218B">
      <w:pPr>
        <w:pStyle w:val="NormalWeb"/>
        <w:divId w:val="938875018"/>
      </w:pPr>
      <w:r w:rsidRPr="00F8414F">
        <w:t>8. Irizarry RA</w:t>
      </w:r>
      <w:r w:rsidR="00F8414F" w:rsidRPr="00F8414F">
        <w:t xml:space="preserve">, Hobbs B, Collin F, Beazer, Barclay YD, </w:t>
      </w:r>
      <w:proofErr w:type="spellStart"/>
      <w:r w:rsidR="00F8414F" w:rsidRPr="00F8414F">
        <w:t>Antonellis</w:t>
      </w:r>
      <w:proofErr w:type="spellEnd"/>
      <w:r w:rsidR="00F8414F" w:rsidRPr="00F8414F">
        <w:t xml:space="preserve"> KJ</w:t>
      </w:r>
      <w:r w:rsidRPr="00F8414F">
        <w:rPr>
          <w:iCs/>
        </w:rPr>
        <w:t xml:space="preserve"> et al</w:t>
      </w:r>
      <w:r w:rsidRPr="00F8414F">
        <w:t xml:space="preserve"> (2003) Exploration, normalization, and summaries of high density oligonucleotide array probe level data</w:t>
      </w:r>
      <w:r w:rsidRPr="00F8414F">
        <w:rPr>
          <w:iCs/>
        </w:rPr>
        <w:t xml:space="preserve">. Biostatistics </w:t>
      </w:r>
      <w:r w:rsidRPr="00F8414F">
        <w:t xml:space="preserve">4: 249-264. </w:t>
      </w:r>
    </w:p>
    <w:p w:rsidR="0014218B" w:rsidRPr="00F8414F" w:rsidRDefault="0014218B">
      <w:pPr>
        <w:pStyle w:val="NormalWeb"/>
        <w:divId w:val="938875018"/>
      </w:pPr>
      <w:r w:rsidRPr="00F8414F">
        <w:t xml:space="preserve">9. Duncan DT, Prodduturi N &amp; Zhang B (2010) WebGestalt2: An updated and expanded version of the web-based gene set analysis toolkit. </w:t>
      </w:r>
      <w:r w:rsidRPr="00F8414F">
        <w:rPr>
          <w:iCs/>
        </w:rPr>
        <w:t xml:space="preserve">. BMC Bioinformatics </w:t>
      </w:r>
      <w:r w:rsidRPr="00F8414F">
        <w:t xml:space="preserve">11: 10. </w:t>
      </w:r>
    </w:p>
    <w:p w:rsidR="0014218B" w:rsidRPr="00F8414F" w:rsidRDefault="0014218B">
      <w:pPr>
        <w:pStyle w:val="NormalWeb"/>
        <w:divId w:val="938875018"/>
      </w:pPr>
      <w:r w:rsidRPr="00F8414F">
        <w:t>10. Zhang B, Kirov SA &amp; Snoddy JR (2005) WebGestalt: An integrated system for exploring gene sets in various biological contexts.</w:t>
      </w:r>
      <w:r w:rsidRPr="00F8414F">
        <w:rPr>
          <w:iCs/>
        </w:rPr>
        <w:t xml:space="preserve"> Nucleic Acids Res </w:t>
      </w:r>
      <w:r w:rsidRPr="00F8414F">
        <w:t xml:space="preserve">33: W741-748. </w:t>
      </w:r>
    </w:p>
    <w:p w:rsidR="0014218B" w:rsidRPr="00F8414F" w:rsidRDefault="0014218B">
      <w:pPr>
        <w:pStyle w:val="NormalWeb"/>
        <w:divId w:val="938875018"/>
      </w:pPr>
      <w:r w:rsidRPr="00F8414F">
        <w:t xml:space="preserve">11. Fieller EC (1940) </w:t>
      </w:r>
      <w:proofErr w:type="gramStart"/>
      <w:r w:rsidRPr="00F8414F">
        <w:t>The</w:t>
      </w:r>
      <w:proofErr w:type="gramEnd"/>
      <w:r w:rsidRPr="00F8414F">
        <w:t xml:space="preserve"> biological standardization of insulin.</w:t>
      </w:r>
      <w:r w:rsidRPr="00F8414F">
        <w:rPr>
          <w:iCs/>
        </w:rPr>
        <w:t xml:space="preserve"> Supplement to the Journal of the Royal Statistical Society </w:t>
      </w:r>
      <w:r w:rsidRPr="00F8414F">
        <w:t xml:space="preserve">7: 1-64. </w:t>
      </w:r>
    </w:p>
    <w:p w:rsidR="00ED2C2A" w:rsidRPr="00BB2DBC" w:rsidRDefault="00555BF6" w:rsidP="00C30574">
      <w:r w:rsidRPr="00F8414F">
        <w:fldChar w:fldCharType="end"/>
      </w:r>
    </w:p>
    <w:sectPr w:rsidR="00ED2C2A" w:rsidRPr="00BB2DBC" w:rsidSect="004D295D">
      <w:headerReference w:type="default" r:id="rId9"/>
      <w:footerReference w:type="even" r:id="rId10"/>
      <w:footerReference w:type="default" r:id="rId11"/>
      <w:pgSz w:w="12240" w:h="15840"/>
      <w:pgMar w:top="1440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226" w:rsidRDefault="00964226">
      <w:r>
        <w:separator/>
      </w:r>
    </w:p>
  </w:endnote>
  <w:endnote w:type="continuationSeparator" w:id="0">
    <w:p w:rsidR="00964226" w:rsidRDefault="0096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05" w:rsidRDefault="00555BF6" w:rsidP="005E57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3A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3A05" w:rsidRDefault="00313A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05" w:rsidRDefault="00555BF6" w:rsidP="005E57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3A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414F">
      <w:rPr>
        <w:rStyle w:val="PageNumber"/>
        <w:noProof/>
      </w:rPr>
      <w:t>6</w:t>
    </w:r>
    <w:r>
      <w:rPr>
        <w:rStyle w:val="PageNumber"/>
      </w:rPr>
      <w:fldChar w:fldCharType="end"/>
    </w:r>
  </w:p>
  <w:p w:rsidR="00313A05" w:rsidRDefault="00313A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226" w:rsidRDefault="00964226">
      <w:r>
        <w:separator/>
      </w:r>
    </w:p>
  </w:footnote>
  <w:footnote w:type="continuationSeparator" w:id="0">
    <w:p w:rsidR="00964226" w:rsidRDefault="00964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05" w:rsidRPr="00514EE3" w:rsidRDefault="00313A05" w:rsidP="005E57EE">
    <w:pPr>
      <w:pStyle w:val="Header"/>
      <w:jc w:val="right"/>
      <w:rPr>
        <w:lang w:val="fi-FI"/>
      </w:rPr>
    </w:pPr>
    <w:r>
      <w:rPr>
        <w:lang w:val="fi-FI"/>
      </w:rPr>
      <w:t xml:space="preserve">Massinen et al.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971"/>
    <w:rsid w:val="00031580"/>
    <w:rsid w:val="00033453"/>
    <w:rsid w:val="0004347A"/>
    <w:rsid w:val="00044071"/>
    <w:rsid w:val="00080919"/>
    <w:rsid w:val="00087E65"/>
    <w:rsid w:val="000965DE"/>
    <w:rsid w:val="000A6D55"/>
    <w:rsid w:val="000B6521"/>
    <w:rsid w:val="000B6BF9"/>
    <w:rsid w:val="000C689D"/>
    <w:rsid w:val="000E164E"/>
    <w:rsid w:val="00103911"/>
    <w:rsid w:val="00112C54"/>
    <w:rsid w:val="00117C6C"/>
    <w:rsid w:val="001248FC"/>
    <w:rsid w:val="00125005"/>
    <w:rsid w:val="001355AD"/>
    <w:rsid w:val="0013667E"/>
    <w:rsid w:val="0014218B"/>
    <w:rsid w:val="00160971"/>
    <w:rsid w:val="00160E68"/>
    <w:rsid w:val="001C7AF4"/>
    <w:rsid w:val="001F16B1"/>
    <w:rsid w:val="00227241"/>
    <w:rsid w:val="00255933"/>
    <w:rsid w:val="002575A7"/>
    <w:rsid w:val="00262FF5"/>
    <w:rsid w:val="002773C3"/>
    <w:rsid w:val="00292FE3"/>
    <w:rsid w:val="002A7B2E"/>
    <w:rsid w:val="002B6612"/>
    <w:rsid w:val="002C45BA"/>
    <w:rsid w:val="002C6F76"/>
    <w:rsid w:val="002E058D"/>
    <w:rsid w:val="002F757F"/>
    <w:rsid w:val="002F78DC"/>
    <w:rsid w:val="00304BF0"/>
    <w:rsid w:val="00313A05"/>
    <w:rsid w:val="003141F3"/>
    <w:rsid w:val="003234D6"/>
    <w:rsid w:val="003432C6"/>
    <w:rsid w:val="003B1C20"/>
    <w:rsid w:val="003B71D4"/>
    <w:rsid w:val="003D5934"/>
    <w:rsid w:val="003E3FC8"/>
    <w:rsid w:val="003E5871"/>
    <w:rsid w:val="0041152D"/>
    <w:rsid w:val="00440502"/>
    <w:rsid w:val="00440FE9"/>
    <w:rsid w:val="00446B1B"/>
    <w:rsid w:val="0047473E"/>
    <w:rsid w:val="004913D5"/>
    <w:rsid w:val="004959AC"/>
    <w:rsid w:val="004A1F79"/>
    <w:rsid w:val="004A324D"/>
    <w:rsid w:val="004A49D2"/>
    <w:rsid w:val="004A7FAA"/>
    <w:rsid w:val="004B74A4"/>
    <w:rsid w:val="004C3B0B"/>
    <w:rsid w:val="004D27DD"/>
    <w:rsid w:val="004D295D"/>
    <w:rsid w:val="004D6C4D"/>
    <w:rsid w:val="00525116"/>
    <w:rsid w:val="00555BF6"/>
    <w:rsid w:val="005936AF"/>
    <w:rsid w:val="005E57EE"/>
    <w:rsid w:val="005F7746"/>
    <w:rsid w:val="00604764"/>
    <w:rsid w:val="00605DBE"/>
    <w:rsid w:val="00620DC3"/>
    <w:rsid w:val="006344DC"/>
    <w:rsid w:val="00637EF0"/>
    <w:rsid w:val="006418F8"/>
    <w:rsid w:val="00645F8F"/>
    <w:rsid w:val="00652DAF"/>
    <w:rsid w:val="00664F3C"/>
    <w:rsid w:val="00675A00"/>
    <w:rsid w:val="00684B89"/>
    <w:rsid w:val="006D79E7"/>
    <w:rsid w:val="006E7C94"/>
    <w:rsid w:val="006F18DB"/>
    <w:rsid w:val="006F6641"/>
    <w:rsid w:val="0072069C"/>
    <w:rsid w:val="007220C7"/>
    <w:rsid w:val="00723C04"/>
    <w:rsid w:val="00724B65"/>
    <w:rsid w:val="00757928"/>
    <w:rsid w:val="00762352"/>
    <w:rsid w:val="00772C2B"/>
    <w:rsid w:val="007763A2"/>
    <w:rsid w:val="00783523"/>
    <w:rsid w:val="00784629"/>
    <w:rsid w:val="00793CF8"/>
    <w:rsid w:val="00796777"/>
    <w:rsid w:val="007D1528"/>
    <w:rsid w:val="007D7AAE"/>
    <w:rsid w:val="007E17F7"/>
    <w:rsid w:val="007E357B"/>
    <w:rsid w:val="00806036"/>
    <w:rsid w:val="00806FFE"/>
    <w:rsid w:val="008341E3"/>
    <w:rsid w:val="0085054E"/>
    <w:rsid w:val="008572E8"/>
    <w:rsid w:val="00865842"/>
    <w:rsid w:val="00876473"/>
    <w:rsid w:val="00877653"/>
    <w:rsid w:val="008B46BA"/>
    <w:rsid w:val="008C4F2E"/>
    <w:rsid w:val="008C5485"/>
    <w:rsid w:val="008D17BF"/>
    <w:rsid w:val="00932117"/>
    <w:rsid w:val="0094300E"/>
    <w:rsid w:val="00947EBB"/>
    <w:rsid w:val="0095390C"/>
    <w:rsid w:val="00960849"/>
    <w:rsid w:val="00964226"/>
    <w:rsid w:val="009666F8"/>
    <w:rsid w:val="00973087"/>
    <w:rsid w:val="00981F75"/>
    <w:rsid w:val="00983320"/>
    <w:rsid w:val="00986A09"/>
    <w:rsid w:val="00992254"/>
    <w:rsid w:val="00995829"/>
    <w:rsid w:val="009F05F7"/>
    <w:rsid w:val="00A10587"/>
    <w:rsid w:val="00A16BD8"/>
    <w:rsid w:val="00A2659F"/>
    <w:rsid w:val="00A350FD"/>
    <w:rsid w:val="00A74F71"/>
    <w:rsid w:val="00A75797"/>
    <w:rsid w:val="00A94A3E"/>
    <w:rsid w:val="00AA1171"/>
    <w:rsid w:val="00AA4107"/>
    <w:rsid w:val="00AB252C"/>
    <w:rsid w:val="00AB2D71"/>
    <w:rsid w:val="00AB5915"/>
    <w:rsid w:val="00AC122E"/>
    <w:rsid w:val="00AC57CA"/>
    <w:rsid w:val="00AC73F4"/>
    <w:rsid w:val="00AE7815"/>
    <w:rsid w:val="00B33289"/>
    <w:rsid w:val="00B446CB"/>
    <w:rsid w:val="00B447B1"/>
    <w:rsid w:val="00B56945"/>
    <w:rsid w:val="00B85A89"/>
    <w:rsid w:val="00BA25EF"/>
    <w:rsid w:val="00BB7E17"/>
    <w:rsid w:val="00BC4AC8"/>
    <w:rsid w:val="00BE2D01"/>
    <w:rsid w:val="00BF021F"/>
    <w:rsid w:val="00C13B32"/>
    <w:rsid w:val="00C13B48"/>
    <w:rsid w:val="00C146C0"/>
    <w:rsid w:val="00C2264A"/>
    <w:rsid w:val="00C25E67"/>
    <w:rsid w:val="00C30574"/>
    <w:rsid w:val="00C317DF"/>
    <w:rsid w:val="00C32585"/>
    <w:rsid w:val="00C35D65"/>
    <w:rsid w:val="00C37FB5"/>
    <w:rsid w:val="00C42B23"/>
    <w:rsid w:val="00C502C4"/>
    <w:rsid w:val="00C62FB6"/>
    <w:rsid w:val="00CC0CF4"/>
    <w:rsid w:val="00CE3C0D"/>
    <w:rsid w:val="00CE4B67"/>
    <w:rsid w:val="00D36165"/>
    <w:rsid w:val="00D44B2A"/>
    <w:rsid w:val="00D5019A"/>
    <w:rsid w:val="00D544EA"/>
    <w:rsid w:val="00D655C3"/>
    <w:rsid w:val="00D93DAD"/>
    <w:rsid w:val="00D958D1"/>
    <w:rsid w:val="00DB3B34"/>
    <w:rsid w:val="00DF48B1"/>
    <w:rsid w:val="00E02C29"/>
    <w:rsid w:val="00E0452C"/>
    <w:rsid w:val="00E23682"/>
    <w:rsid w:val="00E236A6"/>
    <w:rsid w:val="00E457BB"/>
    <w:rsid w:val="00E61408"/>
    <w:rsid w:val="00E854D3"/>
    <w:rsid w:val="00EA77D8"/>
    <w:rsid w:val="00EA7A31"/>
    <w:rsid w:val="00EA7DB7"/>
    <w:rsid w:val="00EB5D07"/>
    <w:rsid w:val="00EC4852"/>
    <w:rsid w:val="00ED2C2A"/>
    <w:rsid w:val="00EE241E"/>
    <w:rsid w:val="00F1344C"/>
    <w:rsid w:val="00F14235"/>
    <w:rsid w:val="00F2760C"/>
    <w:rsid w:val="00F43555"/>
    <w:rsid w:val="00F62353"/>
    <w:rsid w:val="00F64837"/>
    <w:rsid w:val="00F8414F"/>
    <w:rsid w:val="00F909C2"/>
    <w:rsid w:val="00F923C1"/>
    <w:rsid w:val="00FB67AD"/>
    <w:rsid w:val="00FD3E0B"/>
    <w:rsid w:val="00FF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58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14E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14E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4E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45F8F"/>
    <w:pPr>
      <w:keepNext/>
      <w:spacing w:before="240" w:after="60"/>
      <w:outlineLvl w:val="3"/>
    </w:pPr>
    <w:rPr>
      <w:rFonts w:eastAsia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0971"/>
    <w:pPr>
      <w:jc w:val="both"/>
    </w:pPr>
  </w:style>
  <w:style w:type="character" w:styleId="Hyperlink">
    <w:name w:val="Hyperlink"/>
    <w:basedOn w:val="DefaultParagraphFont"/>
    <w:rsid w:val="00341E85"/>
    <w:rPr>
      <w:rFonts w:ascii="Arial" w:hAnsi="Arial" w:cs="Arial" w:hint="default"/>
      <w:color w:val="0000FF"/>
      <w:u w:val="single"/>
    </w:rPr>
  </w:style>
  <w:style w:type="paragraph" w:styleId="BalloonText">
    <w:name w:val="Balloon Text"/>
    <w:basedOn w:val="Normal"/>
    <w:semiHidden/>
    <w:rsid w:val="005405A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F51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F51A0"/>
  </w:style>
  <w:style w:type="paragraph" w:styleId="Header">
    <w:name w:val="header"/>
    <w:basedOn w:val="Normal"/>
    <w:rsid w:val="00514EE3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51056E"/>
    <w:rPr>
      <w:b/>
      <w:bCs/>
    </w:rPr>
  </w:style>
  <w:style w:type="character" w:styleId="CommentReference">
    <w:name w:val="annotation reference"/>
    <w:basedOn w:val="DefaultParagraphFont"/>
    <w:semiHidden/>
    <w:rsid w:val="00F14235"/>
    <w:rPr>
      <w:sz w:val="16"/>
      <w:szCs w:val="16"/>
    </w:rPr>
  </w:style>
  <w:style w:type="paragraph" w:styleId="CommentText">
    <w:name w:val="annotation text"/>
    <w:basedOn w:val="Normal"/>
    <w:semiHidden/>
    <w:rsid w:val="00F142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4235"/>
    <w:rPr>
      <w:b/>
      <w:bCs/>
    </w:rPr>
  </w:style>
  <w:style w:type="paragraph" w:styleId="NormalWeb">
    <w:name w:val="Normal (Web)"/>
    <w:basedOn w:val="Normal"/>
    <w:uiPriority w:val="99"/>
    <w:rsid w:val="003B71D4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rsid w:val="00604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60476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rsid w:val="00645F8F"/>
    <w:rPr>
      <w:rFonts w:eastAsia="Cambria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ainarray.mbni.med.umich.edu/Brainarray/default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ocompare.com/prorev.asp?profrevid=4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BA63-DC4E-4A78-B871-83D8DF2A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10</Pages>
  <Words>2163</Words>
  <Characters>17528</Characters>
  <Application>Microsoft Office Word</Application>
  <DocSecurity>0</DocSecurity>
  <Lines>146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Eero Castren's laboratory</Company>
  <LinksUpToDate>false</LinksUpToDate>
  <CharactersWithSpaces>19652</CharactersWithSpaces>
  <SharedDoc>false</SharedDoc>
  <HLinks>
    <vt:vector size="18" baseType="variant">
      <vt:variant>
        <vt:i4>7864421</vt:i4>
      </vt:variant>
      <vt:variant>
        <vt:i4>24</vt:i4>
      </vt:variant>
      <vt:variant>
        <vt:i4>0</vt:i4>
      </vt:variant>
      <vt:variant>
        <vt:i4>5</vt:i4>
      </vt:variant>
      <vt:variant>
        <vt:lpwstr>http://david.abcc.ncifcrf.gov/home.jsp</vt:lpwstr>
      </vt:variant>
      <vt:variant>
        <vt:lpwstr/>
      </vt:variant>
      <vt:variant>
        <vt:i4>7929958</vt:i4>
      </vt:variant>
      <vt:variant>
        <vt:i4>15</vt:i4>
      </vt:variant>
      <vt:variant>
        <vt:i4>0</vt:i4>
      </vt:variant>
      <vt:variant>
        <vt:i4>5</vt:i4>
      </vt:variant>
      <vt:variant>
        <vt:lpwstr>http://brainarray.mbni.med.umich.edu/Brainarray/default.asp</vt:lpwstr>
      </vt:variant>
      <vt:variant>
        <vt:lpwstr/>
      </vt:variant>
      <vt:variant>
        <vt:i4>3670071</vt:i4>
      </vt:variant>
      <vt:variant>
        <vt:i4>6</vt:i4>
      </vt:variant>
      <vt:variant>
        <vt:i4>0</vt:i4>
      </vt:variant>
      <vt:variant>
        <vt:i4>5</vt:i4>
      </vt:variant>
      <vt:variant>
        <vt:lpwstr>http://www.biocompare.com/prorev.asp?profrevid=471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Marie Hokkanen</dc:creator>
  <cp:keywords/>
  <dc:description/>
  <cp:lastModifiedBy>mehokkan</cp:lastModifiedBy>
  <cp:revision>7</cp:revision>
  <cp:lastPrinted>2011-05-25T08:16:00Z</cp:lastPrinted>
  <dcterms:created xsi:type="dcterms:W3CDTF">2011-05-18T11:06:00Z</dcterms:created>
  <dcterms:modified xsi:type="dcterms:W3CDTF">2011-05-25T08:53:00Z</dcterms:modified>
</cp:coreProperties>
</file>