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E5" w:rsidRPr="005529FE" w:rsidRDefault="003A68E5" w:rsidP="003A68E5">
      <w:pPr>
        <w:pStyle w:val="LEGEND"/>
        <w:tabs>
          <w:tab w:val="left" w:pos="4536"/>
        </w:tabs>
        <w:spacing w:after="0" w:line="480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Table</w:t>
      </w:r>
      <w:r w:rsidRPr="005529FE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S1. </w:t>
      </w:r>
      <w:r w:rsidRPr="005529FE">
        <w:rPr>
          <w:rFonts w:cs="Arial"/>
          <w:b/>
          <w:sz w:val="20"/>
        </w:rPr>
        <w:t xml:space="preserve"> </w:t>
      </w:r>
      <w:proofErr w:type="gramStart"/>
      <w:r w:rsidRPr="005529FE">
        <w:rPr>
          <w:rFonts w:cs="Arial"/>
          <w:b/>
          <w:sz w:val="20"/>
        </w:rPr>
        <w:t>Functional activity of SOD1 variants.</w:t>
      </w:r>
      <w:proofErr w:type="gramEnd"/>
    </w:p>
    <w:p w:rsidR="003A68E5" w:rsidRPr="005529FE" w:rsidRDefault="003A68E5" w:rsidP="003A68E5">
      <w:pPr>
        <w:pStyle w:val="LEGEND"/>
        <w:tabs>
          <w:tab w:val="left" w:pos="4536"/>
        </w:tabs>
        <w:spacing w:after="0" w:line="480" w:lineRule="auto"/>
        <w:jc w:val="both"/>
        <w:rPr>
          <w:rFonts w:cs="Arial"/>
          <w:sz w:val="20"/>
        </w:rPr>
      </w:pPr>
      <w:r w:rsidRPr="005529FE">
        <w:rPr>
          <w:rFonts w:cs="Arial"/>
          <w:sz w:val="20"/>
        </w:rPr>
        <w:t>The enzymatic activity of all proteins was compared to the activity of wtSOD1 and a commercial recombinant SOD1 protein (hu</w:t>
      </w:r>
      <w:r w:rsidRPr="005529FE">
        <w:rPr>
          <w:rFonts w:cs="Arial"/>
          <w:sz w:val="20"/>
          <w:vertAlign w:val="subscript"/>
        </w:rPr>
        <w:t>c</w:t>
      </w:r>
      <w:r w:rsidRPr="005529FE">
        <w:rPr>
          <w:rFonts w:cs="Arial"/>
          <w:sz w:val="20"/>
        </w:rPr>
        <w:t>SOD1). Of the mutant SOD1 purified, three have mutations located away from the metal binding/catalytic region, thus having properties similar to wtSOD1. These mutants are denoted wild-type-like SOD1 mutants (WTL) and they are G93A, G37R, and A4V. G85R is a SOD1 variant with mutation within the metal binding/catalytic region (known as metal-binding-region (MBR) mutant) and has a marked reduction in metal binding properties and SOD1 activity compared to wtSOD1. Protein conformations of purified SOD1 (</w:t>
      </w:r>
      <w:proofErr w:type="spellStart"/>
      <w:r w:rsidRPr="005529FE">
        <w:rPr>
          <w:rFonts w:cs="Arial"/>
          <w:sz w:val="20"/>
        </w:rPr>
        <w:t>wtSOD</w:t>
      </w:r>
      <w:proofErr w:type="spellEnd"/>
      <w:r w:rsidRPr="005529FE">
        <w:rPr>
          <w:rFonts w:cs="Arial"/>
          <w:sz w:val="20"/>
        </w:rPr>
        <w:t xml:space="preserve">, G37R and A4V) were confirmed by crystal structure analysis (data not shown) and were comparable to published data, except for the absence of acetylated N-terminus. </w:t>
      </w:r>
    </w:p>
    <w:p w:rsidR="003A68E5" w:rsidRDefault="003A68E5" w:rsidP="003A68E5">
      <w:pPr>
        <w:pStyle w:val="LEGEND"/>
        <w:tabs>
          <w:tab w:val="left" w:pos="4536"/>
        </w:tabs>
        <w:spacing w:after="0" w:line="480" w:lineRule="auto"/>
        <w:jc w:val="both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952"/>
        <w:gridCol w:w="2952"/>
        <w:gridCol w:w="2952"/>
      </w:tblGrid>
      <w:tr w:rsidR="003A68E5" w:rsidRPr="00281FC3" w:rsidTr="00E95D50">
        <w:tc>
          <w:tcPr>
            <w:tcW w:w="2952" w:type="dxa"/>
          </w:tcPr>
          <w:p w:rsidR="003A68E5" w:rsidRPr="00281FC3" w:rsidRDefault="003A68E5" w:rsidP="00E95D50">
            <w:pPr>
              <w:pStyle w:val="LEGEND"/>
              <w:tabs>
                <w:tab w:val="left" w:pos="4536"/>
              </w:tabs>
              <w:spacing w:after="0" w:line="480" w:lineRule="auto"/>
              <w:rPr>
                <w:rFonts w:cs="Arial"/>
                <w:b/>
                <w:sz w:val="20"/>
              </w:rPr>
            </w:pPr>
            <w:r w:rsidRPr="00281FC3">
              <w:rPr>
                <w:rFonts w:cs="Arial"/>
                <w:b/>
                <w:sz w:val="20"/>
              </w:rPr>
              <w:t>SOD1 variant</w:t>
            </w:r>
          </w:p>
        </w:tc>
        <w:tc>
          <w:tcPr>
            <w:tcW w:w="2952" w:type="dxa"/>
          </w:tcPr>
          <w:p w:rsidR="003A68E5" w:rsidRPr="00281FC3" w:rsidRDefault="003A68E5" w:rsidP="00E95D50">
            <w:pPr>
              <w:pStyle w:val="LEGEND"/>
              <w:tabs>
                <w:tab w:val="left" w:pos="4536"/>
              </w:tabs>
              <w:spacing w:after="0" w:line="480" w:lineRule="auto"/>
              <w:jc w:val="center"/>
              <w:rPr>
                <w:rFonts w:cs="Arial"/>
                <w:b/>
                <w:sz w:val="20"/>
              </w:rPr>
            </w:pPr>
            <w:r w:rsidRPr="00281FC3">
              <w:rPr>
                <w:rFonts w:cs="Arial"/>
                <w:b/>
                <w:sz w:val="20"/>
              </w:rPr>
              <w:t>SOD1 specific activity</w:t>
            </w:r>
          </w:p>
          <w:p w:rsidR="003A68E5" w:rsidRPr="00281FC3" w:rsidRDefault="003A68E5" w:rsidP="00E95D50">
            <w:pPr>
              <w:pStyle w:val="LEGEND"/>
              <w:tabs>
                <w:tab w:val="left" w:pos="4536"/>
              </w:tabs>
              <w:spacing w:after="0" w:line="480" w:lineRule="auto"/>
              <w:jc w:val="center"/>
              <w:rPr>
                <w:rFonts w:cs="Arial"/>
                <w:b/>
                <w:sz w:val="20"/>
              </w:rPr>
            </w:pPr>
            <w:r w:rsidRPr="00281FC3">
              <w:rPr>
                <w:rFonts w:cs="Arial"/>
                <w:b/>
                <w:sz w:val="20"/>
              </w:rPr>
              <w:t>(units/mg)</w:t>
            </w:r>
          </w:p>
        </w:tc>
        <w:tc>
          <w:tcPr>
            <w:tcW w:w="2952" w:type="dxa"/>
          </w:tcPr>
          <w:p w:rsidR="003A68E5" w:rsidRPr="00281FC3" w:rsidRDefault="003A68E5" w:rsidP="00E95D50">
            <w:pPr>
              <w:pStyle w:val="LEGEND"/>
              <w:tabs>
                <w:tab w:val="left" w:pos="4536"/>
              </w:tabs>
              <w:spacing w:after="0" w:line="480" w:lineRule="auto"/>
              <w:jc w:val="center"/>
              <w:rPr>
                <w:rFonts w:cs="Arial"/>
                <w:b/>
                <w:sz w:val="20"/>
              </w:rPr>
            </w:pPr>
            <w:r w:rsidRPr="00281FC3">
              <w:rPr>
                <w:rFonts w:cs="Arial"/>
                <w:b/>
                <w:sz w:val="20"/>
              </w:rPr>
              <w:t>% specific activity of wtSOD1</w:t>
            </w:r>
          </w:p>
        </w:tc>
      </w:tr>
      <w:tr w:rsidR="003A68E5" w:rsidRPr="00281FC3" w:rsidTr="00E95D50">
        <w:tc>
          <w:tcPr>
            <w:tcW w:w="2952" w:type="dxa"/>
          </w:tcPr>
          <w:p w:rsidR="003A68E5" w:rsidRPr="00281FC3" w:rsidRDefault="003A68E5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 w:rsidRPr="00281FC3">
              <w:rPr>
                <w:rFonts w:cs="Arial"/>
                <w:sz w:val="20"/>
              </w:rPr>
              <w:t>hu</w:t>
            </w:r>
            <w:r w:rsidRPr="00281FC3">
              <w:rPr>
                <w:rFonts w:cs="Arial"/>
                <w:sz w:val="20"/>
                <w:vertAlign w:val="subscript"/>
              </w:rPr>
              <w:t>c</w:t>
            </w:r>
            <w:r w:rsidRPr="00281FC3">
              <w:rPr>
                <w:rFonts w:cs="Arial"/>
                <w:sz w:val="20"/>
              </w:rPr>
              <w:t>SOD1</w:t>
            </w:r>
          </w:p>
        </w:tc>
        <w:tc>
          <w:tcPr>
            <w:tcW w:w="2952" w:type="dxa"/>
          </w:tcPr>
          <w:p w:rsidR="003A68E5" w:rsidRPr="00281FC3" w:rsidRDefault="003A68E5" w:rsidP="00E95D50">
            <w:pPr>
              <w:pStyle w:val="LEGEND"/>
              <w:tabs>
                <w:tab w:val="left" w:pos="4536"/>
              </w:tabs>
              <w:spacing w:after="0" w:line="480" w:lineRule="auto"/>
              <w:jc w:val="center"/>
              <w:rPr>
                <w:rFonts w:cs="Arial"/>
                <w:sz w:val="20"/>
              </w:rPr>
            </w:pPr>
            <w:r w:rsidRPr="00281FC3">
              <w:rPr>
                <w:rFonts w:cs="Arial"/>
                <w:sz w:val="20"/>
              </w:rPr>
              <w:t>3000 - 4000</w:t>
            </w:r>
          </w:p>
        </w:tc>
        <w:tc>
          <w:tcPr>
            <w:tcW w:w="2952" w:type="dxa"/>
          </w:tcPr>
          <w:p w:rsidR="003A68E5" w:rsidRPr="00281FC3" w:rsidRDefault="003A68E5" w:rsidP="00E95D50">
            <w:pPr>
              <w:pStyle w:val="LEGEND"/>
              <w:tabs>
                <w:tab w:val="left" w:pos="4536"/>
              </w:tabs>
              <w:spacing w:after="0" w:line="480" w:lineRule="auto"/>
              <w:jc w:val="center"/>
              <w:rPr>
                <w:rFonts w:cs="Arial"/>
                <w:sz w:val="20"/>
              </w:rPr>
            </w:pPr>
            <w:r w:rsidRPr="00281FC3">
              <w:rPr>
                <w:rFonts w:cs="Arial"/>
                <w:sz w:val="20"/>
              </w:rPr>
              <w:t>80-105</w:t>
            </w:r>
          </w:p>
        </w:tc>
      </w:tr>
      <w:tr w:rsidR="003A68E5" w:rsidRPr="00281FC3" w:rsidTr="00E95D50">
        <w:tc>
          <w:tcPr>
            <w:tcW w:w="2952" w:type="dxa"/>
          </w:tcPr>
          <w:p w:rsidR="003A68E5" w:rsidRPr="00281FC3" w:rsidRDefault="003A68E5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 w:rsidRPr="00281FC3">
              <w:rPr>
                <w:rFonts w:cs="Arial"/>
                <w:sz w:val="20"/>
              </w:rPr>
              <w:t>wtSOD1</w:t>
            </w:r>
          </w:p>
        </w:tc>
        <w:tc>
          <w:tcPr>
            <w:tcW w:w="2952" w:type="dxa"/>
          </w:tcPr>
          <w:p w:rsidR="003A68E5" w:rsidRPr="00281FC3" w:rsidRDefault="003A68E5" w:rsidP="00E95D50">
            <w:pPr>
              <w:pStyle w:val="LEGEND"/>
              <w:tabs>
                <w:tab w:val="left" w:pos="4536"/>
              </w:tabs>
              <w:spacing w:after="0" w:line="480" w:lineRule="auto"/>
              <w:jc w:val="center"/>
              <w:rPr>
                <w:rFonts w:cs="Arial"/>
                <w:sz w:val="20"/>
              </w:rPr>
            </w:pPr>
            <w:r w:rsidRPr="00281FC3">
              <w:rPr>
                <w:rFonts w:cs="Arial"/>
                <w:sz w:val="20"/>
              </w:rPr>
              <w:t>3800</w:t>
            </w:r>
          </w:p>
        </w:tc>
        <w:tc>
          <w:tcPr>
            <w:tcW w:w="2952" w:type="dxa"/>
          </w:tcPr>
          <w:p w:rsidR="003A68E5" w:rsidRPr="00281FC3" w:rsidRDefault="003A68E5" w:rsidP="00E95D50">
            <w:pPr>
              <w:pStyle w:val="LEGEND"/>
              <w:tabs>
                <w:tab w:val="left" w:pos="4536"/>
              </w:tabs>
              <w:spacing w:after="0" w:line="480" w:lineRule="auto"/>
              <w:jc w:val="center"/>
              <w:rPr>
                <w:rFonts w:cs="Arial"/>
                <w:sz w:val="20"/>
              </w:rPr>
            </w:pPr>
            <w:r w:rsidRPr="00281FC3">
              <w:rPr>
                <w:rFonts w:cs="Arial"/>
                <w:sz w:val="20"/>
              </w:rPr>
              <w:t>100</w:t>
            </w:r>
          </w:p>
        </w:tc>
      </w:tr>
      <w:tr w:rsidR="003A68E5" w:rsidRPr="00281FC3" w:rsidTr="00E95D50">
        <w:tc>
          <w:tcPr>
            <w:tcW w:w="2952" w:type="dxa"/>
          </w:tcPr>
          <w:p w:rsidR="003A68E5" w:rsidRPr="00281FC3" w:rsidRDefault="003A68E5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 w:rsidRPr="00281FC3">
              <w:rPr>
                <w:rFonts w:cs="Arial"/>
                <w:sz w:val="20"/>
              </w:rPr>
              <w:t>G93A</w:t>
            </w:r>
          </w:p>
        </w:tc>
        <w:tc>
          <w:tcPr>
            <w:tcW w:w="2952" w:type="dxa"/>
          </w:tcPr>
          <w:p w:rsidR="003A68E5" w:rsidRPr="00281FC3" w:rsidRDefault="003A68E5" w:rsidP="00E95D50">
            <w:pPr>
              <w:pStyle w:val="LEGEND"/>
              <w:tabs>
                <w:tab w:val="left" w:pos="4536"/>
              </w:tabs>
              <w:spacing w:after="0" w:line="480" w:lineRule="auto"/>
              <w:jc w:val="center"/>
              <w:rPr>
                <w:rFonts w:cs="Arial"/>
                <w:sz w:val="20"/>
              </w:rPr>
            </w:pPr>
            <w:r w:rsidRPr="00281FC3">
              <w:rPr>
                <w:rFonts w:cs="Arial"/>
                <w:sz w:val="20"/>
              </w:rPr>
              <w:t>3900</w:t>
            </w:r>
          </w:p>
        </w:tc>
        <w:tc>
          <w:tcPr>
            <w:tcW w:w="2952" w:type="dxa"/>
          </w:tcPr>
          <w:p w:rsidR="003A68E5" w:rsidRPr="00281FC3" w:rsidRDefault="003A68E5" w:rsidP="00E95D50">
            <w:pPr>
              <w:pStyle w:val="LEGEND"/>
              <w:tabs>
                <w:tab w:val="left" w:pos="4536"/>
              </w:tabs>
              <w:spacing w:after="0" w:line="480" w:lineRule="auto"/>
              <w:jc w:val="center"/>
              <w:rPr>
                <w:rFonts w:cs="Arial"/>
                <w:sz w:val="20"/>
              </w:rPr>
            </w:pPr>
            <w:r w:rsidRPr="00281FC3">
              <w:rPr>
                <w:rFonts w:cs="Arial"/>
                <w:sz w:val="20"/>
              </w:rPr>
              <w:t>102</w:t>
            </w:r>
          </w:p>
        </w:tc>
      </w:tr>
      <w:tr w:rsidR="003A68E5" w:rsidRPr="00281FC3" w:rsidTr="00E95D50">
        <w:tc>
          <w:tcPr>
            <w:tcW w:w="2952" w:type="dxa"/>
          </w:tcPr>
          <w:p w:rsidR="003A68E5" w:rsidRPr="00281FC3" w:rsidRDefault="003A68E5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 w:rsidRPr="00281FC3">
              <w:rPr>
                <w:rFonts w:cs="Arial"/>
                <w:sz w:val="20"/>
              </w:rPr>
              <w:t>G37R</w:t>
            </w:r>
          </w:p>
        </w:tc>
        <w:tc>
          <w:tcPr>
            <w:tcW w:w="2952" w:type="dxa"/>
          </w:tcPr>
          <w:p w:rsidR="003A68E5" w:rsidRPr="00281FC3" w:rsidRDefault="003A68E5" w:rsidP="00E95D50">
            <w:pPr>
              <w:pStyle w:val="LEGEND"/>
              <w:tabs>
                <w:tab w:val="left" w:pos="4536"/>
              </w:tabs>
              <w:spacing w:after="0" w:line="480" w:lineRule="auto"/>
              <w:jc w:val="center"/>
              <w:rPr>
                <w:rFonts w:cs="Arial"/>
                <w:sz w:val="20"/>
              </w:rPr>
            </w:pPr>
            <w:r w:rsidRPr="00281FC3">
              <w:rPr>
                <w:rFonts w:cs="Arial"/>
                <w:sz w:val="20"/>
              </w:rPr>
              <w:t>2600</w:t>
            </w:r>
          </w:p>
        </w:tc>
        <w:tc>
          <w:tcPr>
            <w:tcW w:w="2952" w:type="dxa"/>
          </w:tcPr>
          <w:p w:rsidR="003A68E5" w:rsidRPr="00281FC3" w:rsidRDefault="003A68E5" w:rsidP="00E95D50">
            <w:pPr>
              <w:pStyle w:val="LEGEND"/>
              <w:tabs>
                <w:tab w:val="left" w:pos="4536"/>
              </w:tabs>
              <w:spacing w:after="0" w:line="480" w:lineRule="auto"/>
              <w:jc w:val="center"/>
              <w:rPr>
                <w:rFonts w:cs="Arial"/>
                <w:sz w:val="20"/>
              </w:rPr>
            </w:pPr>
            <w:r w:rsidRPr="00281FC3">
              <w:rPr>
                <w:rFonts w:cs="Arial"/>
                <w:sz w:val="20"/>
              </w:rPr>
              <w:t>68</w:t>
            </w:r>
          </w:p>
        </w:tc>
      </w:tr>
      <w:tr w:rsidR="003A68E5" w:rsidRPr="00281FC3" w:rsidTr="00E95D50">
        <w:tc>
          <w:tcPr>
            <w:tcW w:w="2952" w:type="dxa"/>
          </w:tcPr>
          <w:p w:rsidR="003A68E5" w:rsidRPr="00281FC3" w:rsidRDefault="003A68E5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 w:rsidRPr="00281FC3">
              <w:rPr>
                <w:rFonts w:cs="Arial"/>
                <w:sz w:val="20"/>
              </w:rPr>
              <w:t>A4V</w:t>
            </w:r>
          </w:p>
        </w:tc>
        <w:tc>
          <w:tcPr>
            <w:tcW w:w="2952" w:type="dxa"/>
          </w:tcPr>
          <w:p w:rsidR="003A68E5" w:rsidRPr="00281FC3" w:rsidRDefault="003A68E5" w:rsidP="00E95D50">
            <w:pPr>
              <w:pStyle w:val="LEGEND"/>
              <w:tabs>
                <w:tab w:val="left" w:pos="4536"/>
              </w:tabs>
              <w:spacing w:after="0" w:line="480" w:lineRule="auto"/>
              <w:jc w:val="center"/>
              <w:rPr>
                <w:rFonts w:cs="Arial"/>
                <w:sz w:val="20"/>
              </w:rPr>
            </w:pPr>
            <w:r w:rsidRPr="00281FC3">
              <w:rPr>
                <w:rFonts w:cs="Arial"/>
                <w:sz w:val="20"/>
              </w:rPr>
              <w:t>1200</w:t>
            </w:r>
          </w:p>
        </w:tc>
        <w:tc>
          <w:tcPr>
            <w:tcW w:w="2952" w:type="dxa"/>
          </w:tcPr>
          <w:p w:rsidR="003A68E5" w:rsidRPr="00281FC3" w:rsidRDefault="003A68E5" w:rsidP="00E95D50">
            <w:pPr>
              <w:pStyle w:val="LEGEND"/>
              <w:tabs>
                <w:tab w:val="left" w:pos="4536"/>
              </w:tabs>
              <w:spacing w:after="0" w:line="480" w:lineRule="auto"/>
              <w:jc w:val="center"/>
              <w:rPr>
                <w:rFonts w:cs="Arial"/>
                <w:sz w:val="20"/>
              </w:rPr>
            </w:pPr>
            <w:r w:rsidRPr="00281FC3">
              <w:rPr>
                <w:rFonts w:cs="Arial"/>
                <w:sz w:val="20"/>
              </w:rPr>
              <w:t>32</w:t>
            </w:r>
          </w:p>
        </w:tc>
      </w:tr>
      <w:tr w:rsidR="003A68E5" w:rsidRPr="00281FC3" w:rsidTr="00E95D50">
        <w:tc>
          <w:tcPr>
            <w:tcW w:w="2952" w:type="dxa"/>
          </w:tcPr>
          <w:p w:rsidR="003A68E5" w:rsidRPr="00281FC3" w:rsidRDefault="003A68E5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 w:rsidRPr="00281FC3">
              <w:rPr>
                <w:rFonts w:cs="Arial"/>
                <w:sz w:val="20"/>
              </w:rPr>
              <w:t>G85R</w:t>
            </w:r>
          </w:p>
        </w:tc>
        <w:tc>
          <w:tcPr>
            <w:tcW w:w="2952" w:type="dxa"/>
          </w:tcPr>
          <w:p w:rsidR="003A68E5" w:rsidRPr="00281FC3" w:rsidRDefault="003A68E5" w:rsidP="00E95D50">
            <w:pPr>
              <w:pStyle w:val="LEGEND"/>
              <w:tabs>
                <w:tab w:val="left" w:pos="4536"/>
              </w:tabs>
              <w:spacing w:after="0" w:line="480" w:lineRule="auto"/>
              <w:jc w:val="center"/>
              <w:rPr>
                <w:rFonts w:cs="Arial"/>
                <w:sz w:val="20"/>
              </w:rPr>
            </w:pPr>
            <w:r w:rsidRPr="00281FC3">
              <w:rPr>
                <w:rFonts w:cs="Arial"/>
                <w:sz w:val="20"/>
              </w:rPr>
              <w:t>290</w:t>
            </w:r>
          </w:p>
        </w:tc>
        <w:tc>
          <w:tcPr>
            <w:tcW w:w="2952" w:type="dxa"/>
          </w:tcPr>
          <w:p w:rsidR="003A68E5" w:rsidRPr="00281FC3" w:rsidRDefault="003A68E5" w:rsidP="00E95D50">
            <w:pPr>
              <w:pStyle w:val="LEGEND"/>
              <w:tabs>
                <w:tab w:val="left" w:pos="4536"/>
              </w:tabs>
              <w:spacing w:after="0" w:line="480" w:lineRule="auto"/>
              <w:jc w:val="center"/>
              <w:rPr>
                <w:rFonts w:cs="Arial"/>
                <w:sz w:val="20"/>
              </w:rPr>
            </w:pPr>
            <w:r w:rsidRPr="00281FC3">
              <w:rPr>
                <w:rFonts w:cs="Arial"/>
                <w:sz w:val="20"/>
              </w:rPr>
              <w:t>8</w:t>
            </w:r>
          </w:p>
        </w:tc>
      </w:tr>
    </w:tbl>
    <w:p w:rsidR="003A68E5" w:rsidRPr="005529FE" w:rsidRDefault="003A68E5" w:rsidP="003A68E5">
      <w:pPr>
        <w:pStyle w:val="LEGEND"/>
        <w:tabs>
          <w:tab w:val="left" w:pos="4536"/>
        </w:tabs>
        <w:spacing w:after="0" w:line="480" w:lineRule="auto"/>
        <w:jc w:val="both"/>
        <w:rPr>
          <w:rFonts w:cs="Arial"/>
          <w:b/>
          <w:sz w:val="20"/>
        </w:rPr>
      </w:pPr>
    </w:p>
    <w:sectPr w:rsidR="003A68E5" w:rsidRPr="005529FE" w:rsidSect="006147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20"/>
  <w:characterSpacingControl w:val="doNotCompress"/>
  <w:compat/>
  <w:rsids>
    <w:rsidRoot w:val="003A68E5"/>
    <w:rsid w:val="003A68E5"/>
    <w:rsid w:val="006147A7"/>
    <w:rsid w:val="007A7546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E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">
    <w:name w:val="LEGEND"/>
    <w:basedOn w:val="Normal"/>
    <w:rsid w:val="003A68E5"/>
    <w:pPr>
      <w:spacing w:after="240" w:line="480" w:lineRule="atLeast"/>
    </w:pPr>
    <w:rPr>
      <w:rFonts w:ascii="Arial" w:eastAsia="Times New Roman" w:hAnsi="Arial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>Institute of neurology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e.fisher</dc:creator>
  <cp:keywords/>
  <dc:description/>
  <cp:lastModifiedBy>e.fisher</cp:lastModifiedBy>
  <cp:revision>1</cp:revision>
  <dcterms:created xsi:type="dcterms:W3CDTF">2010-04-27T13:06:00Z</dcterms:created>
  <dcterms:modified xsi:type="dcterms:W3CDTF">2010-04-27T13:07:00Z</dcterms:modified>
</cp:coreProperties>
</file>