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8DD23" w14:textId="06733CE2" w:rsidR="007B1EFF" w:rsidRPr="00CF6C17" w:rsidRDefault="007B1EFF" w:rsidP="007B1EFF">
      <w:pPr>
        <w:spacing w:line="360" w:lineRule="auto"/>
        <w:rPr>
          <w:rFonts w:ascii="Times New Roman" w:hAnsi="Times New Roman" w:cs="Times New Roman"/>
          <w:b/>
          <w:color w:val="000000" w:themeColor="text1"/>
          <w:sz w:val="22"/>
        </w:rPr>
      </w:pPr>
      <w:r>
        <w:rPr>
          <w:rFonts w:ascii="Times New Roman" w:hAnsi="Times New Roman" w:cs="Times New Roman"/>
          <w:b/>
          <w:color w:val="000000" w:themeColor="text1"/>
          <w:sz w:val="22"/>
        </w:rPr>
        <w:t>S4 Fig</w:t>
      </w:r>
      <w:r w:rsidRPr="00CF6C17">
        <w:rPr>
          <w:rFonts w:ascii="Times New Roman" w:hAnsi="Times New Roman" w:cs="Times New Roman"/>
          <w:b/>
          <w:color w:val="000000" w:themeColor="text1"/>
          <w:sz w:val="22"/>
        </w:rPr>
        <w:t xml:space="preserve">: Propensity-score matching analysis and summarized results. </w:t>
      </w:r>
    </w:p>
    <w:p w14:paraId="29C85079" w14:textId="77777777" w:rsidR="007B1EFF" w:rsidRPr="00CF6C17" w:rsidRDefault="007B1EFF" w:rsidP="007B1EFF">
      <w:pPr>
        <w:spacing w:line="360" w:lineRule="auto"/>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 xml:space="preserve">In each ejection fraction (EF) stratum, we developed a propensity-score (PS) for the choice of angiotensin-converting enzyme inhibitors (ACE-I) or angiotensin receptor blockers (ARB) as a discharge medication. We used the logistic regression models with the use of ACE-I/ARB as a dependent variable and the 15 variables as independent variables, which were considered as clinically relevant to ACE-I/ARB prescription (listed in the Supplementary Appendix 5-7). Missing data of binary variables were considered as negative values. To create PS-matched cohorts, the patients with ACE-I/ARB were matched to those without ACE-I/ARB on the PSs by the nearest neighbor matching technique with a caliper of width equal to 0.2 of the standard deviation of the PS in each EF stratum. We constructed Cox proportional hazard models to estimate hazard ratios (HR) and their 95% confidence intervals (CI) of those with ACE-I/ARB relative to those without ACE-I/ARB for each clinical outcome measure. </w:t>
      </w:r>
    </w:p>
    <w:p w14:paraId="04C3F3BF" w14:textId="77777777" w:rsidR="007B1EFF" w:rsidRPr="00CF6C17" w:rsidRDefault="007B1EFF" w:rsidP="007B1EFF">
      <w:pPr>
        <w:spacing w:line="360" w:lineRule="auto"/>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 xml:space="preserve">     The patient flowchart and the results are shown below. The risks of the use of ACE-I/ARB relative to the non-use for the primary outcome measure were in line with the main analysis; lower risks of the use of ACE-I/ARB relative to the non-use for the primary outcome measure were seen in </w:t>
      </w:r>
      <w:proofErr w:type="spellStart"/>
      <w:r w:rsidRPr="00CF6C17">
        <w:rPr>
          <w:rFonts w:ascii="Times New Roman" w:hAnsi="Times New Roman" w:cs="Times New Roman"/>
          <w:color w:val="000000" w:themeColor="text1"/>
          <w:sz w:val="22"/>
        </w:rPr>
        <w:t>HFrEF</w:t>
      </w:r>
      <w:proofErr w:type="spellEnd"/>
      <w:r w:rsidRPr="00CF6C17">
        <w:rPr>
          <w:rFonts w:ascii="Times New Roman" w:hAnsi="Times New Roman" w:cs="Times New Roman"/>
          <w:color w:val="000000" w:themeColor="text1"/>
          <w:sz w:val="22"/>
        </w:rPr>
        <w:t xml:space="preserve"> and </w:t>
      </w:r>
      <w:proofErr w:type="spellStart"/>
      <w:r w:rsidRPr="00CF6C17">
        <w:rPr>
          <w:rFonts w:ascii="Times New Roman" w:hAnsi="Times New Roman" w:cs="Times New Roman"/>
          <w:color w:val="000000" w:themeColor="text1"/>
          <w:sz w:val="22"/>
        </w:rPr>
        <w:t>HFmrEF</w:t>
      </w:r>
      <w:proofErr w:type="spellEnd"/>
      <w:r w:rsidRPr="00CF6C17">
        <w:rPr>
          <w:rFonts w:ascii="Times New Roman" w:hAnsi="Times New Roman" w:cs="Times New Roman"/>
          <w:color w:val="000000" w:themeColor="text1"/>
          <w:sz w:val="22"/>
        </w:rPr>
        <w:t xml:space="preserve">, but not in </w:t>
      </w:r>
      <w:proofErr w:type="spellStart"/>
      <w:r w:rsidRPr="00CF6C17">
        <w:rPr>
          <w:rFonts w:ascii="Times New Roman" w:hAnsi="Times New Roman" w:cs="Times New Roman"/>
          <w:color w:val="000000" w:themeColor="text1"/>
          <w:sz w:val="22"/>
        </w:rPr>
        <w:t>HFpEF</w:t>
      </w:r>
      <w:proofErr w:type="spellEnd"/>
      <w:r w:rsidRPr="00CF6C17">
        <w:rPr>
          <w:rFonts w:ascii="Times New Roman" w:hAnsi="Times New Roman" w:cs="Times New Roman"/>
          <w:color w:val="000000" w:themeColor="text1"/>
          <w:sz w:val="22"/>
        </w:rPr>
        <w:t xml:space="preserve">, although the small number of the matched population resulted in wide range of 95% confidence interval in the </w:t>
      </w:r>
      <w:proofErr w:type="spellStart"/>
      <w:r w:rsidRPr="00CF6C17">
        <w:rPr>
          <w:rFonts w:ascii="Times New Roman" w:hAnsi="Times New Roman" w:cs="Times New Roman"/>
          <w:color w:val="000000" w:themeColor="text1"/>
          <w:sz w:val="22"/>
        </w:rPr>
        <w:t>HFmrEF</w:t>
      </w:r>
      <w:proofErr w:type="spellEnd"/>
      <w:r w:rsidRPr="00CF6C17">
        <w:rPr>
          <w:rFonts w:ascii="Times New Roman" w:hAnsi="Times New Roman" w:cs="Times New Roman"/>
          <w:color w:val="000000" w:themeColor="text1"/>
          <w:sz w:val="22"/>
        </w:rPr>
        <w:t xml:space="preserve"> group. Other results in the PS matching analysis were also consistent with the main analysis for all the clinical outcomes except heart failure hospitalization in the </w:t>
      </w:r>
      <w:proofErr w:type="spellStart"/>
      <w:r w:rsidRPr="00CF6C17">
        <w:rPr>
          <w:rFonts w:ascii="Times New Roman" w:hAnsi="Times New Roman" w:cs="Times New Roman"/>
          <w:color w:val="000000" w:themeColor="text1"/>
          <w:sz w:val="22"/>
        </w:rPr>
        <w:t>HFrEF</w:t>
      </w:r>
      <w:proofErr w:type="spellEnd"/>
      <w:r w:rsidRPr="00CF6C17">
        <w:rPr>
          <w:rFonts w:ascii="Times New Roman" w:hAnsi="Times New Roman" w:cs="Times New Roman"/>
          <w:color w:val="000000" w:themeColor="text1"/>
          <w:sz w:val="22"/>
        </w:rPr>
        <w:t xml:space="preserve"> group.</w:t>
      </w:r>
    </w:p>
    <w:p w14:paraId="6C6AAC4B" w14:textId="77777777" w:rsidR="007B1EFF" w:rsidRPr="00CF6C17" w:rsidRDefault="007B1EFF" w:rsidP="007B1EFF">
      <w:pPr>
        <w:tabs>
          <w:tab w:val="center" w:pos="4873"/>
        </w:tabs>
        <w:rPr>
          <w:rFonts w:ascii="Times New Roman" w:hAnsi="Times New Roman" w:cs="Times New Roman"/>
          <w:b/>
          <w:bCs/>
          <w:color w:val="000000" w:themeColor="text1"/>
          <w:sz w:val="22"/>
        </w:rPr>
      </w:pPr>
      <w:r w:rsidRPr="00CF6C17">
        <w:rPr>
          <w:rFonts w:ascii="Times New Roman" w:hAnsi="Times New Roman" w:cs="Times New Roman"/>
          <w:b/>
          <w:bCs/>
          <w:color w:val="000000" w:themeColor="text1"/>
          <w:sz w:val="22"/>
        </w:rPr>
        <w:tab/>
      </w:r>
      <w:r w:rsidRPr="00CF6C17">
        <w:rPr>
          <w:rFonts w:ascii="Times New Roman" w:hAnsi="Times New Roman" w:cs="Times New Roman" w:hint="eastAsia"/>
          <w:b/>
          <w:bCs/>
          <w:color w:val="000000" w:themeColor="text1"/>
          <w:sz w:val="22"/>
        </w:rPr>
        <w:t>P</w:t>
      </w:r>
      <w:r w:rsidRPr="00CF6C17">
        <w:rPr>
          <w:rFonts w:ascii="Times New Roman" w:hAnsi="Times New Roman" w:cs="Times New Roman"/>
          <w:b/>
          <w:bCs/>
          <w:color w:val="000000" w:themeColor="text1"/>
          <w:sz w:val="22"/>
        </w:rPr>
        <w:t>atient flowchart</w:t>
      </w:r>
    </w:p>
    <w:p w14:paraId="5360A524" w14:textId="77777777" w:rsidR="007B1EFF" w:rsidRPr="00CF6C17" w:rsidRDefault="007B1EFF" w:rsidP="007B1EFF">
      <w:pPr>
        <w:spacing w:line="360" w:lineRule="auto"/>
        <w:jc w:val="center"/>
        <w:rPr>
          <w:rFonts w:ascii="Times New Roman" w:hAnsi="Times New Roman" w:cs="Times New Roman"/>
          <w:b/>
          <w:color w:val="000000" w:themeColor="text1"/>
          <w:sz w:val="22"/>
        </w:rPr>
      </w:pPr>
      <w:r w:rsidRPr="00CF6C17">
        <w:rPr>
          <w:rFonts w:ascii="Times New Roman" w:hAnsi="Times New Roman" w:cs="Times New Roman"/>
          <w:noProof/>
          <w:color w:val="000000" w:themeColor="text1"/>
          <w:sz w:val="22"/>
        </w:rPr>
        <w:drawing>
          <wp:inline distT="0" distB="0" distL="0" distR="0" wp14:anchorId="79062ED6" wp14:editId="7D3FCD90">
            <wp:extent cx="3609879" cy="2711302"/>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スライド14.jpeg"/>
                    <pic:cNvPicPr/>
                  </pic:nvPicPr>
                  <pic:blipFill>
                    <a:blip r:embed="rId4"/>
                    <a:stretch>
                      <a:fillRect/>
                    </a:stretch>
                  </pic:blipFill>
                  <pic:spPr>
                    <a:xfrm>
                      <a:off x="0" y="0"/>
                      <a:ext cx="3639819" cy="2733789"/>
                    </a:xfrm>
                    <a:prstGeom prst="rect">
                      <a:avLst/>
                    </a:prstGeom>
                  </pic:spPr>
                </pic:pic>
              </a:graphicData>
            </a:graphic>
          </wp:inline>
        </w:drawing>
      </w:r>
    </w:p>
    <w:p w14:paraId="3DAC457F" w14:textId="77777777" w:rsidR="007B1EFF" w:rsidRPr="00CF6C17" w:rsidRDefault="007B1EFF" w:rsidP="007B1EFF">
      <w:pPr>
        <w:spacing w:line="360" w:lineRule="auto"/>
        <w:rPr>
          <w:rFonts w:ascii="Times New Roman" w:hAnsi="Times New Roman" w:cs="Times New Roman"/>
          <w:b/>
          <w:color w:val="000000" w:themeColor="text1"/>
          <w:sz w:val="22"/>
        </w:rPr>
      </w:pPr>
      <w:r w:rsidRPr="00CF6C17">
        <w:rPr>
          <w:rFonts w:ascii="Times New Roman" w:hAnsi="Times New Roman" w:cs="Times New Roman"/>
          <w:b/>
          <w:color w:val="000000" w:themeColor="text1"/>
          <w:sz w:val="22"/>
        </w:rPr>
        <w:t>The Kaplan-Meier curves for the primary endpoint in the PS-matched cohorts stratified by the LVEF categories; ACE-I/ARB group versus no ACE-I/ARB group.</w:t>
      </w:r>
    </w:p>
    <w:p w14:paraId="14F2F6CD" w14:textId="77777777" w:rsidR="007B1EFF" w:rsidRPr="00CF6C17" w:rsidRDefault="007B1EFF" w:rsidP="007B1EFF">
      <w:pPr>
        <w:spacing w:line="360" w:lineRule="auto"/>
        <w:rPr>
          <w:rFonts w:ascii="Times New Roman" w:hAnsi="Times New Roman" w:cs="Times New Roman"/>
          <w:b/>
          <w:color w:val="000000" w:themeColor="text1"/>
          <w:sz w:val="22"/>
        </w:rPr>
      </w:pPr>
    </w:p>
    <w:p w14:paraId="47F2CBE5" w14:textId="77777777" w:rsidR="007B1EFF" w:rsidRPr="00CF6C17" w:rsidRDefault="007B1EFF" w:rsidP="007B1EFF">
      <w:pPr>
        <w:spacing w:line="360" w:lineRule="auto"/>
        <w:jc w:val="center"/>
        <w:rPr>
          <w:rFonts w:ascii="Times New Roman" w:hAnsi="Times New Roman" w:cs="Times New Roman"/>
          <w:b/>
          <w:color w:val="000000" w:themeColor="text1"/>
          <w:sz w:val="22"/>
        </w:rPr>
      </w:pPr>
      <w:r w:rsidRPr="00CF6C17">
        <w:rPr>
          <w:rFonts w:ascii="Times New Roman" w:hAnsi="Times New Roman" w:cs="Times New Roman"/>
          <w:b/>
          <w:noProof/>
          <w:color w:val="000000" w:themeColor="text1"/>
          <w:sz w:val="22"/>
        </w:rPr>
        <w:lastRenderedPageBreak/>
        <w:drawing>
          <wp:inline distT="0" distB="0" distL="0" distR="0" wp14:anchorId="13BDF70A" wp14:editId="79BAF97F">
            <wp:extent cx="3040742" cy="2843559"/>
            <wp:effectExtent l="0" t="0" r="0" b="127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68987" cy="2869973"/>
                    </a:xfrm>
                    <a:prstGeom prst="rect">
                      <a:avLst/>
                    </a:prstGeom>
                  </pic:spPr>
                </pic:pic>
              </a:graphicData>
            </a:graphic>
          </wp:inline>
        </w:drawing>
      </w:r>
      <w:r w:rsidRPr="00CF6C17">
        <w:rPr>
          <w:rFonts w:ascii="Times New Roman" w:hAnsi="Times New Roman" w:cs="Times New Roman"/>
          <w:b/>
          <w:noProof/>
          <w:color w:val="000000" w:themeColor="text1"/>
          <w:sz w:val="22"/>
        </w:rPr>
        <w:drawing>
          <wp:inline distT="0" distB="0" distL="0" distR="0" wp14:anchorId="15026630" wp14:editId="18170C64">
            <wp:extent cx="3054485" cy="2862051"/>
            <wp:effectExtent l="0" t="0" r="635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67751" cy="2874481"/>
                    </a:xfrm>
                    <a:prstGeom prst="rect">
                      <a:avLst/>
                    </a:prstGeom>
                  </pic:spPr>
                </pic:pic>
              </a:graphicData>
            </a:graphic>
          </wp:inline>
        </w:drawing>
      </w:r>
    </w:p>
    <w:p w14:paraId="4884FD96" w14:textId="77777777" w:rsidR="007B1EFF" w:rsidRPr="00CF6C17" w:rsidRDefault="007B1EFF" w:rsidP="007B1EFF">
      <w:pPr>
        <w:spacing w:line="360" w:lineRule="auto"/>
        <w:rPr>
          <w:rFonts w:ascii="Times New Roman" w:hAnsi="Times New Roman" w:cs="Times New Roman"/>
          <w:b/>
          <w:color w:val="000000" w:themeColor="text1"/>
          <w:sz w:val="22"/>
        </w:rPr>
      </w:pPr>
      <w:r w:rsidRPr="00CF6C17">
        <w:rPr>
          <w:rFonts w:ascii="Times New Roman" w:hAnsi="Times New Roman" w:cs="Times New Roman"/>
          <w:b/>
          <w:noProof/>
          <w:color w:val="000000" w:themeColor="text1"/>
          <w:sz w:val="22"/>
        </w:rPr>
        <w:lastRenderedPageBreak/>
        <w:drawing>
          <wp:inline distT="0" distB="0" distL="0" distR="0" wp14:anchorId="474320B5" wp14:editId="754AAB6C">
            <wp:extent cx="3127184" cy="2918298"/>
            <wp:effectExtent l="0" t="0" r="0" b="317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44745" cy="2934686"/>
                    </a:xfrm>
                    <a:prstGeom prst="rect">
                      <a:avLst/>
                    </a:prstGeom>
                  </pic:spPr>
                </pic:pic>
              </a:graphicData>
            </a:graphic>
          </wp:inline>
        </w:drawing>
      </w:r>
    </w:p>
    <w:p w14:paraId="310144D3" w14:textId="77777777" w:rsidR="007B1EFF" w:rsidRPr="00CF6C17" w:rsidRDefault="007B1EFF" w:rsidP="007B1EFF">
      <w:pPr>
        <w:spacing w:line="360" w:lineRule="auto"/>
        <w:rPr>
          <w:rFonts w:ascii="Times New Roman" w:hAnsi="Times New Roman" w:cs="Times New Roman"/>
          <w:bCs/>
          <w:color w:val="000000" w:themeColor="text1"/>
          <w:sz w:val="22"/>
        </w:rPr>
      </w:pPr>
    </w:p>
    <w:p w14:paraId="18BA2A9F" w14:textId="77777777" w:rsidR="007B1EFF" w:rsidRPr="00CF6C17" w:rsidRDefault="007B1EFF" w:rsidP="007B1EFF">
      <w:pPr>
        <w:spacing w:line="360" w:lineRule="auto"/>
        <w:rPr>
          <w:rFonts w:ascii="Times New Roman" w:hAnsi="Times New Roman" w:cs="Times New Roman"/>
          <w:bCs/>
          <w:color w:val="000000" w:themeColor="text1"/>
          <w:sz w:val="22"/>
        </w:rPr>
      </w:pPr>
      <w:r w:rsidRPr="00CF6C17">
        <w:rPr>
          <w:rFonts w:ascii="Times New Roman" w:hAnsi="Times New Roman" w:cs="Times New Roman"/>
          <w:bCs/>
          <w:color w:val="000000" w:themeColor="text1"/>
          <w:sz w:val="22"/>
        </w:rPr>
        <w:t xml:space="preserve">ACE-I, angiotensin-converting enzyme inhibitors; ARB, angiotensin receptor blockers; CI, confidence interval; </w:t>
      </w:r>
      <w:proofErr w:type="spellStart"/>
      <w:r w:rsidRPr="00CF6C17">
        <w:rPr>
          <w:rFonts w:ascii="Times New Roman" w:hAnsi="Times New Roman" w:cs="Times New Roman"/>
          <w:bCs/>
          <w:color w:val="000000" w:themeColor="text1"/>
          <w:sz w:val="22"/>
        </w:rPr>
        <w:t>HFmrEF</w:t>
      </w:r>
      <w:proofErr w:type="spellEnd"/>
      <w:r w:rsidRPr="00CF6C17">
        <w:rPr>
          <w:rFonts w:ascii="Times New Roman" w:hAnsi="Times New Roman" w:cs="Times New Roman"/>
          <w:bCs/>
          <w:color w:val="000000" w:themeColor="text1"/>
          <w:sz w:val="22"/>
        </w:rPr>
        <w:t xml:space="preserve">, heart failure with mid-range ejection fraction; </w:t>
      </w:r>
      <w:proofErr w:type="spellStart"/>
      <w:r w:rsidRPr="00CF6C17">
        <w:rPr>
          <w:rFonts w:ascii="Times New Roman" w:hAnsi="Times New Roman" w:cs="Times New Roman"/>
          <w:bCs/>
          <w:color w:val="000000" w:themeColor="text1"/>
          <w:sz w:val="22"/>
        </w:rPr>
        <w:t>HFpEF</w:t>
      </w:r>
      <w:proofErr w:type="spellEnd"/>
      <w:r w:rsidRPr="00CF6C17">
        <w:rPr>
          <w:rFonts w:ascii="Times New Roman" w:hAnsi="Times New Roman" w:cs="Times New Roman"/>
          <w:bCs/>
          <w:color w:val="000000" w:themeColor="text1"/>
          <w:sz w:val="22"/>
        </w:rPr>
        <w:t xml:space="preserve">, heart failure with preserved ejection fraction; </w:t>
      </w:r>
      <w:proofErr w:type="spellStart"/>
      <w:r w:rsidRPr="00CF6C17">
        <w:rPr>
          <w:rFonts w:ascii="Times New Roman" w:hAnsi="Times New Roman" w:cs="Times New Roman"/>
          <w:bCs/>
          <w:color w:val="000000" w:themeColor="text1"/>
          <w:sz w:val="22"/>
        </w:rPr>
        <w:t>HFrEF</w:t>
      </w:r>
      <w:proofErr w:type="spellEnd"/>
      <w:r w:rsidRPr="00CF6C17">
        <w:rPr>
          <w:rFonts w:ascii="Times New Roman" w:hAnsi="Times New Roman" w:cs="Times New Roman"/>
          <w:bCs/>
          <w:color w:val="000000" w:themeColor="text1"/>
          <w:sz w:val="22"/>
        </w:rPr>
        <w:t xml:space="preserve">, heart failure with reduced ejection fraction. </w:t>
      </w:r>
    </w:p>
    <w:p w14:paraId="3901D2AE" w14:textId="77777777" w:rsidR="007B1EFF" w:rsidRPr="00CF6C17" w:rsidRDefault="007B1EFF" w:rsidP="007B1EFF">
      <w:pPr>
        <w:rPr>
          <w:color w:val="000000" w:themeColor="text1"/>
        </w:rPr>
      </w:pPr>
      <w:r w:rsidRPr="00CF6C17">
        <w:rPr>
          <w:color w:val="000000" w:themeColor="text1"/>
        </w:rPr>
        <w:br w:type="page"/>
      </w:r>
    </w:p>
    <w:p w14:paraId="15FC2A8A" w14:textId="77777777" w:rsidR="007B1EFF" w:rsidRPr="00CF6C17" w:rsidRDefault="007B1EFF" w:rsidP="007B1EFF">
      <w:pPr>
        <w:spacing w:line="360" w:lineRule="auto"/>
        <w:rPr>
          <w:rFonts w:ascii="Times New Roman" w:hAnsi="Times New Roman" w:cs="Times New Roman"/>
          <w:b/>
          <w:bCs/>
          <w:color w:val="000000" w:themeColor="text1"/>
          <w:sz w:val="22"/>
        </w:rPr>
      </w:pPr>
      <w:r w:rsidRPr="00CF6C17">
        <w:rPr>
          <w:rFonts w:ascii="Times New Roman" w:hAnsi="Times New Roman" w:cs="Times New Roman"/>
          <w:b/>
          <w:color w:val="000000" w:themeColor="text1"/>
        </w:rPr>
        <w:lastRenderedPageBreak/>
        <w:t>Effects of the use of ACE-I/ARB on clinical outcomes according to the LVEF categories in the</w:t>
      </w:r>
      <w:r w:rsidRPr="00CF6C17">
        <w:rPr>
          <w:rFonts w:ascii="Times New Roman" w:hAnsi="Times New Roman" w:cs="Times New Roman"/>
          <w:b/>
          <w:bCs/>
          <w:color w:val="000000" w:themeColor="text1"/>
          <w:sz w:val="22"/>
        </w:rPr>
        <w:t xml:space="preserve"> propensity score-matched cohorts. </w:t>
      </w:r>
    </w:p>
    <w:p w14:paraId="05F8B4FF" w14:textId="77777777" w:rsidR="007B1EFF" w:rsidRPr="00CF6C17" w:rsidRDefault="007B1EFF" w:rsidP="007B1EFF">
      <w:pPr>
        <w:spacing w:line="360" w:lineRule="auto"/>
        <w:rPr>
          <w:rFonts w:ascii="Times New Roman" w:hAnsi="Times New Roman" w:cs="Times New Roman"/>
          <w:b/>
          <w:bCs/>
          <w:color w:val="000000" w:themeColor="text1"/>
          <w:sz w:val="22"/>
        </w:rPr>
      </w:pPr>
    </w:p>
    <w:tbl>
      <w:tblPr>
        <w:tblW w:w="9730" w:type="dxa"/>
        <w:tblInd w:w="99" w:type="dxa"/>
        <w:tblCellMar>
          <w:left w:w="99" w:type="dxa"/>
          <w:right w:w="99" w:type="dxa"/>
        </w:tblCellMar>
        <w:tblLook w:val="04A0" w:firstRow="1" w:lastRow="0" w:firstColumn="1" w:lastColumn="0" w:noHBand="0" w:noVBand="1"/>
      </w:tblPr>
      <w:tblGrid>
        <w:gridCol w:w="1911"/>
        <w:gridCol w:w="2285"/>
        <w:gridCol w:w="2285"/>
        <w:gridCol w:w="2057"/>
        <w:gridCol w:w="1192"/>
      </w:tblGrid>
      <w:tr w:rsidR="007B1EFF" w:rsidRPr="00CF6C17" w14:paraId="20E3E677" w14:textId="77777777" w:rsidTr="00841AA7">
        <w:trPr>
          <w:trHeight w:val="550"/>
        </w:trPr>
        <w:tc>
          <w:tcPr>
            <w:tcW w:w="1911" w:type="dxa"/>
            <w:tcBorders>
              <w:top w:val="single" w:sz="4" w:space="0" w:color="auto"/>
              <w:left w:val="nil"/>
              <w:bottom w:val="single" w:sz="4" w:space="0" w:color="auto"/>
              <w:right w:val="nil"/>
            </w:tcBorders>
            <w:shd w:val="clear" w:color="auto" w:fill="auto"/>
            <w:noWrap/>
            <w:vAlign w:val="center"/>
            <w:hideMark/>
          </w:tcPr>
          <w:p w14:paraId="31444B57"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 xml:space="preserve">　</w:t>
            </w:r>
          </w:p>
        </w:tc>
        <w:tc>
          <w:tcPr>
            <w:tcW w:w="2285" w:type="dxa"/>
            <w:tcBorders>
              <w:top w:val="single" w:sz="4" w:space="0" w:color="auto"/>
              <w:left w:val="nil"/>
              <w:bottom w:val="single" w:sz="4" w:space="0" w:color="auto"/>
              <w:right w:val="nil"/>
            </w:tcBorders>
            <w:shd w:val="clear" w:color="auto" w:fill="auto"/>
            <w:vAlign w:val="bottom"/>
            <w:hideMark/>
          </w:tcPr>
          <w:p w14:paraId="240B24FE"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ACE-I/ARB*</w:t>
            </w:r>
          </w:p>
        </w:tc>
        <w:tc>
          <w:tcPr>
            <w:tcW w:w="2285" w:type="dxa"/>
            <w:tcBorders>
              <w:top w:val="single" w:sz="4" w:space="0" w:color="auto"/>
              <w:left w:val="nil"/>
              <w:bottom w:val="single" w:sz="4" w:space="0" w:color="auto"/>
              <w:right w:val="nil"/>
            </w:tcBorders>
            <w:shd w:val="clear" w:color="auto" w:fill="auto"/>
            <w:vAlign w:val="bottom"/>
            <w:hideMark/>
          </w:tcPr>
          <w:p w14:paraId="5A96FCB0"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No ACE-I/ARB*</w:t>
            </w:r>
          </w:p>
        </w:tc>
        <w:tc>
          <w:tcPr>
            <w:tcW w:w="2057" w:type="dxa"/>
            <w:tcBorders>
              <w:top w:val="single" w:sz="4" w:space="0" w:color="auto"/>
              <w:left w:val="nil"/>
              <w:bottom w:val="single" w:sz="4" w:space="0" w:color="auto"/>
              <w:right w:val="nil"/>
            </w:tcBorders>
            <w:shd w:val="clear" w:color="auto" w:fill="auto"/>
            <w:vAlign w:val="bottom"/>
            <w:hideMark/>
          </w:tcPr>
          <w:p w14:paraId="6D68D2A9"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HR (95% CI)</w:t>
            </w:r>
          </w:p>
        </w:tc>
        <w:tc>
          <w:tcPr>
            <w:tcW w:w="1192" w:type="dxa"/>
            <w:tcBorders>
              <w:top w:val="single" w:sz="4" w:space="0" w:color="auto"/>
              <w:left w:val="nil"/>
              <w:bottom w:val="single" w:sz="4" w:space="0" w:color="auto"/>
              <w:right w:val="nil"/>
            </w:tcBorders>
            <w:shd w:val="clear" w:color="auto" w:fill="auto"/>
            <w:noWrap/>
            <w:vAlign w:val="bottom"/>
            <w:hideMark/>
          </w:tcPr>
          <w:p w14:paraId="69669EB8"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P value</w:t>
            </w:r>
          </w:p>
        </w:tc>
      </w:tr>
      <w:tr w:rsidR="007B1EFF" w:rsidRPr="00CF6C17" w14:paraId="2F6E5E6A" w14:textId="77777777" w:rsidTr="00841AA7">
        <w:trPr>
          <w:trHeight w:val="277"/>
        </w:trPr>
        <w:tc>
          <w:tcPr>
            <w:tcW w:w="9730" w:type="dxa"/>
            <w:gridSpan w:val="5"/>
            <w:tcBorders>
              <w:top w:val="single" w:sz="4" w:space="0" w:color="auto"/>
              <w:left w:val="nil"/>
              <w:bottom w:val="single" w:sz="4" w:space="0" w:color="auto"/>
              <w:right w:val="nil"/>
            </w:tcBorders>
            <w:shd w:val="clear" w:color="auto" w:fill="auto"/>
            <w:noWrap/>
            <w:vAlign w:val="center"/>
            <w:hideMark/>
          </w:tcPr>
          <w:p w14:paraId="620D331A"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Primary outcome measure (all-cause death + HF hospitalization)</w:t>
            </w:r>
          </w:p>
        </w:tc>
      </w:tr>
      <w:tr w:rsidR="007B1EFF" w:rsidRPr="00CF6C17" w14:paraId="66B9E71C" w14:textId="77777777" w:rsidTr="00841AA7">
        <w:trPr>
          <w:trHeight w:val="392"/>
        </w:trPr>
        <w:tc>
          <w:tcPr>
            <w:tcW w:w="1911" w:type="dxa"/>
            <w:tcBorders>
              <w:top w:val="nil"/>
              <w:left w:val="nil"/>
              <w:bottom w:val="nil"/>
              <w:right w:val="nil"/>
            </w:tcBorders>
            <w:shd w:val="clear" w:color="auto" w:fill="auto"/>
            <w:noWrap/>
            <w:vAlign w:val="center"/>
            <w:hideMark/>
          </w:tcPr>
          <w:p w14:paraId="3828C68D"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 xml:space="preserve">  </w:t>
            </w:r>
            <w:proofErr w:type="spellStart"/>
            <w:r w:rsidRPr="00CF6C17">
              <w:rPr>
                <w:rFonts w:ascii="Times New Roman" w:hAnsi="Times New Roman" w:cs="Times New Roman"/>
                <w:color w:val="000000" w:themeColor="text1"/>
                <w:sz w:val="22"/>
              </w:rPr>
              <w:t>HFrEF</w:t>
            </w:r>
            <w:proofErr w:type="spellEnd"/>
          </w:p>
        </w:tc>
        <w:tc>
          <w:tcPr>
            <w:tcW w:w="2285" w:type="dxa"/>
            <w:tcBorders>
              <w:top w:val="nil"/>
              <w:left w:val="nil"/>
              <w:bottom w:val="nil"/>
              <w:right w:val="nil"/>
            </w:tcBorders>
            <w:shd w:val="clear" w:color="auto" w:fill="auto"/>
            <w:noWrap/>
            <w:vAlign w:val="center"/>
            <w:hideMark/>
          </w:tcPr>
          <w:p w14:paraId="0F55D1FD"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128 (35.0%)</w:t>
            </w:r>
          </w:p>
        </w:tc>
        <w:tc>
          <w:tcPr>
            <w:tcW w:w="2285" w:type="dxa"/>
            <w:tcBorders>
              <w:top w:val="nil"/>
              <w:left w:val="nil"/>
              <w:bottom w:val="nil"/>
              <w:right w:val="nil"/>
            </w:tcBorders>
            <w:shd w:val="clear" w:color="auto" w:fill="auto"/>
            <w:noWrap/>
            <w:vAlign w:val="center"/>
            <w:hideMark/>
          </w:tcPr>
          <w:p w14:paraId="6A658450"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148 (40.7%)</w:t>
            </w:r>
          </w:p>
        </w:tc>
        <w:tc>
          <w:tcPr>
            <w:tcW w:w="2057" w:type="dxa"/>
            <w:tcBorders>
              <w:top w:val="single" w:sz="4" w:space="0" w:color="auto"/>
              <w:left w:val="nil"/>
              <w:bottom w:val="nil"/>
              <w:right w:val="nil"/>
            </w:tcBorders>
            <w:shd w:val="clear" w:color="auto" w:fill="auto"/>
            <w:noWrap/>
            <w:vAlign w:val="center"/>
            <w:hideMark/>
          </w:tcPr>
          <w:p w14:paraId="5391F41C"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0.79 (0.64–0.99)</w:t>
            </w:r>
          </w:p>
        </w:tc>
        <w:tc>
          <w:tcPr>
            <w:tcW w:w="1192" w:type="dxa"/>
            <w:tcBorders>
              <w:top w:val="single" w:sz="4" w:space="0" w:color="auto"/>
              <w:left w:val="nil"/>
              <w:bottom w:val="nil"/>
              <w:right w:val="nil"/>
            </w:tcBorders>
            <w:shd w:val="clear" w:color="auto" w:fill="auto"/>
            <w:noWrap/>
            <w:vAlign w:val="center"/>
            <w:hideMark/>
          </w:tcPr>
          <w:p w14:paraId="214ECA76"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0.037</w:t>
            </w:r>
          </w:p>
        </w:tc>
      </w:tr>
      <w:tr w:rsidR="007B1EFF" w:rsidRPr="00CF6C17" w14:paraId="5AD2FC82" w14:textId="77777777" w:rsidTr="00841AA7">
        <w:trPr>
          <w:trHeight w:val="392"/>
        </w:trPr>
        <w:tc>
          <w:tcPr>
            <w:tcW w:w="1911" w:type="dxa"/>
            <w:tcBorders>
              <w:top w:val="nil"/>
              <w:left w:val="nil"/>
              <w:bottom w:val="nil"/>
              <w:right w:val="nil"/>
            </w:tcBorders>
            <w:shd w:val="clear" w:color="auto" w:fill="auto"/>
            <w:noWrap/>
            <w:vAlign w:val="center"/>
            <w:hideMark/>
          </w:tcPr>
          <w:p w14:paraId="04E3F9A3"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 xml:space="preserve">  </w:t>
            </w:r>
            <w:proofErr w:type="spellStart"/>
            <w:r w:rsidRPr="00CF6C17">
              <w:rPr>
                <w:rFonts w:ascii="Times New Roman" w:hAnsi="Times New Roman" w:cs="Times New Roman"/>
                <w:color w:val="000000" w:themeColor="text1"/>
                <w:sz w:val="22"/>
              </w:rPr>
              <w:t>HFmrEF</w:t>
            </w:r>
            <w:proofErr w:type="spellEnd"/>
          </w:p>
        </w:tc>
        <w:tc>
          <w:tcPr>
            <w:tcW w:w="2285" w:type="dxa"/>
            <w:tcBorders>
              <w:top w:val="nil"/>
              <w:left w:val="nil"/>
              <w:bottom w:val="nil"/>
              <w:right w:val="nil"/>
            </w:tcBorders>
            <w:shd w:val="clear" w:color="auto" w:fill="auto"/>
            <w:noWrap/>
            <w:vAlign w:val="center"/>
            <w:hideMark/>
          </w:tcPr>
          <w:p w14:paraId="38EC9B3C"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38 (25.7%)</w:t>
            </w:r>
          </w:p>
        </w:tc>
        <w:tc>
          <w:tcPr>
            <w:tcW w:w="2285" w:type="dxa"/>
            <w:tcBorders>
              <w:top w:val="nil"/>
              <w:left w:val="nil"/>
              <w:bottom w:val="nil"/>
              <w:right w:val="nil"/>
            </w:tcBorders>
            <w:shd w:val="clear" w:color="auto" w:fill="auto"/>
            <w:noWrap/>
            <w:vAlign w:val="center"/>
            <w:hideMark/>
          </w:tcPr>
          <w:p w14:paraId="680C2F66"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50 (32.6%)</w:t>
            </w:r>
          </w:p>
        </w:tc>
        <w:tc>
          <w:tcPr>
            <w:tcW w:w="2057" w:type="dxa"/>
            <w:tcBorders>
              <w:top w:val="nil"/>
              <w:left w:val="nil"/>
              <w:bottom w:val="nil"/>
              <w:right w:val="nil"/>
            </w:tcBorders>
            <w:shd w:val="clear" w:color="auto" w:fill="auto"/>
            <w:noWrap/>
            <w:vAlign w:val="center"/>
            <w:hideMark/>
          </w:tcPr>
          <w:p w14:paraId="36835DC2"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0.73 (0.50–1.07)</w:t>
            </w:r>
          </w:p>
        </w:tc>
        <w:tc>
          <w:tcPr>
            <w:tcW w:w="1192" w:type="dxa"/>
            <w:tcBorders>
              <w:top w:val="nil"/>
              <w:left w:val="nil"/>
              <w:bottom w:val="nil"/>
              <w:right w:val="nil"/>
            </w:tcBorders>
            <w:shd w:val="clear" w:color="auto" w:fill="auto"/>
            <w:noWrap/>
            <w:vAlign w:val="center"/>
            <w:hideMark/>
          </w:tcPr>
          <w:p w14:paraId="68B09F0F"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0.10</w:t>
            </w:r>
          </w:p>
        </w:tc>
      </w:tr>
      <w:tr w:rsidR="007B1EFF" w:rsidRPr="00CF6C17" w14:paraId="08057DD6" w14:textId="77777777" w:rsidTr="00841AA7">
        <w:trPr>
          <w:trHeight w:val="392"/>
        </w:trPr>
        <w:tc>
          <w:tcPr>
            <w:tcW w:w="1911" w:type="dxa"/>
            <w:tcBorders>
              <w:top w:val="nil"/>
              <w:left w:val="nil"/>
              <w:bottom w:val="nil"/>
              <w:right w:val="nil"/>
            </w:tcBorders>
            <w:shd w:val="clear" w:color="auto" w:fill="auto"/>
            <w:noWrap/>
            <w:vAlign w:val="center"/>
            <w:hideMark/>
          </w:tcPr>
          <w:p w14:paraId="6B2DDCF1"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 xml:space="preserve">  </w:t>
            </w:r>
            <w:proofErr w:type="spellStart"/>
            <w:r w:rsidRPr="00CF6C17">
              <w:rPr>
                <w:rFonts w:ascii="Times New Roman" w:hAnsi="Times New Roman" w:cs="Times New Roman"/>
                <w:color w:val="000000" w:themeColor="text1"/>
                <w:sz w:val="22"/>
              </w:rPr>
              <w:t>HFpEF</w:t>
            </w:r>
            <w:proofErr w:type="spellEnd"/>
          </w:p>
        </w:tc>
        <w:tc>
          <w:tcPr>
            <w:tcW w:w="2285" w:type="dxa"/>
            <w:tcBorders>
              <w:top w:val="nil"/>
              <w:left w:val="nil"/>
              <w:bottom w:val="nil"/>
              <w:right w:val="nil"/>
            </w:tcBorders>
            <w:shd w:val="clear" w:color="auto" w:fill="auto"/>
            <w:noWrap/>
            <w:vAlign w:val="center"/>
            <w:hideMark/>
          </w:tcPr>
          <w:p w14:paraId="598201F6"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138 (33.0%)</w:t>
            </w:r>
          </w:p>
        </w:tc>
        <w:tc>
          <w:tcPr>
            <w:tcW w:w="2285" w:type="dxa"/>
            <w:tcBorders>
              <w:top w:val="nil"/>
              <w:left w:val="nil"/>
              <w:bottom w:val="nil"/>
              <w:right w:val="nil"/>
            </w:tcBorders>
            <w:shd w:val="clear" w:color="auto" w:fill="auto"/>
            <w:noWrap/>
            <w:vAlign w:val="center"/>
            <w:hideMark/>
          </w:tcPr>
          <w:p w14:paraId="6B92104F"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137 (33.2%)</w:t>
            </w:r>
          </w:p>
        </w:tc>
        <w:tc>
          <w:tcPr>
            <w:tcW w:w="2057" w:type="dxa"/>
            <w:tcBorders>
              <w:top w:val="nil"/>
              <w:left w:val="nil"/>
              <w:bottom w:val="single" w:sz="4" w:space="0" w:color="auto"/>
              <w:right w:val="nil"/>
            </w:tcBorders>
            <w:shd w:val="clear" w:color="auto" w:fill="auto"/>
            <w:noWrap/>
            <w:vAlign w:val="center"/>
            <w:hideMark/>
          </w:tcPr>
          <w:p w14:paraId="5D888DA6"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0.98 (0.79–1.21)</w:t>
            </w:r>
          </w:p>
        </w:tc>
        <w:tc>
          <w:tcPr>
            <w:tcW w:w="1192" w:type="dxa"/>
            <w:tcBorders>
              <w:top w:val="nil"/>
              <w:left w:val="nil"/>
              <w:bottom w:val="single" w:sz="4" w:space="0" w:color="auto"/>
              <w:right w:val="nil"/>
            </w:tcBorders>
            <w:shd w:val="clear" w:color="auto" w:fill="auto"/>
            <w:noWrap/>
            <w:vAlign w:val="center"/>
            <w:hideMark/>
          </w:tcPr>
          <w:p w14:paraId="5AAF0952"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0.86</w:t>
            </w:r>
          </w:p>
        </w:tc>
      </w:tr>
      <w:tr w:rsidR="007B1EFF" w:rsidRPr="00CF6C17" w14:paraId="4AAE0494" w14:textId="77777777" w:rsidTr="00841AA7">
        <w:trPr>
          <w:trHeight w:val="392"/>
        </w:trPr>
        <w:tc>
          <w:tcPr>
            <w:tcW w:w="4196" w:type="dxa"/>
            <w:gridSpan w:val="2"/>
            <w:tcBorders>
              <w:top w:val="single" w:sz="4" w:space="0" w:color="auto"/>
              <w:left w:val="nil"/>
              <w:bottom w:val="single" w:sz="4" w:space="0" w:color="auto"/>
              <w:right w:val="nil"/>
            </w:tcBorders>
            <w:shd w:val="clear" w:color="auto" w:fill="auto"/>
            <w:noWrap/>
            <w:vAlign w:val="center"/>
            <w:hideMark/>
          </w:tcPr>
          <w:p w14:paraId="55B9358F"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All-cause death</w:t>
            </w:r>
          </w:p>
        </w:tc>
        <w:tc>
          <w:tcPr>
            <w:tcW w:w="2285" w:type="dxa"/>
            <w:tcBorders>
              <w:top w:val="single" w:sz="4" w:space="0" w:color="auto"/>
              <w:left w:val="nil"/>
              <w:bottom w:val="single" w:sz="4" w:space="0" w:color="auto"/>
              <w:right w:val="nil"/>
            </w:tcBorders>
            <w:shd w:val="clear" w:color="auto" w:fill="auto"/>
            <w:noWrap/>
            <w:vAlign w:val="center"/>
            <w:hideMark/>
          </w:tcPr>
          <w:p w14:paraId="3D489F58"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 xml:space="preserve">　</w:t>
            </w:r>
          </w:p>
        </w:tc>
        <w:tc>
          <w:tcPr>
            <w:tcW w:w="2057" w:type="dxa"/>
            <w:tcBorders>
              <w:top w:val="nil"/>
              <w:left w:val="nil"/>
              <w:bottom w:val="single" w:sz="4" w:space="0" w:color="auto"/>
              <w:right w:val="nil"/>
            </w:tcBorders>
            <w:shd w:val="clear" w:color="auto" w:fill="auto"/>
            <w:noWrap/>
            <w:vAlign w:val="center"/>
            <w:hideMark/>
          </w:tcPr>
          <w:p w14:paraId="2615B821"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 xml:space="preserve">　</w:t>
            </w:r>
          </w:p>
        </w:tc>
        <w:tc>
          <w:tcPr>
            <w:tcW w:w="1192" w:type="dxa"/>
            <w:tcBorders>
              <w:top w:val="nil"/>
              <w:left w:val="nil"/>
              <w:bottom w:val="single" w:sz="4" w:space="0" w:color="auto"/>
              <w:right w:val="nil"/>
            </w:tcBorders>
            <w:shd w:val="clear" w:color="auto" w:fill="auto"/>
            <w:noWrap/>
            <w:vAlign w:val="center"/>
            <w:hideMark/>
          </w:tcPr>
          <w:p w14:paraId="2A459691"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 xml:space="preserve">　</w:t>
            </w:r>
          </w:p>
        </w:tc>
      </w:tr>
      <w:tr w:rsidR="007B1EFF" w:rsidRPr="00CF6C17" w14:paraId="475E7A68" w14:textId="77777777" w:rsidTr="00841AA7">
        <w:trPr>
          <w:trHeight w:val="392"/>
        </w:trPr>
        <w:tc>
          <w:tcPr>
            <w:tcW w:w="1911" w:type="dxa"/>
            <w:tcBorders>
              <w:top w:val="nil"/>
              <w:left w:val="nil"/>
              <w:bottom w:val="nil"/>
              <w:right w:val="nil"/>
            </w:tcBorders>
            <w:shd w:val="clear" w:color="auto" w:fill="auto"/>
            <w:noWrap/>
            <w:vAlign w:val="center"/>
            <w:hideMark/>
          </w:tcPr>
          <w:p w14:paraId="10F27BAF"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 xml:space="preserve">  </w:t>
            </w:r>
            <w:proofErr w:type="spellStart"/>
            <w:r w:rsidRPr="00CF6C17">
              <w:rPr>
                <w:rFonts w:ascii="Times New Roman" w:hAnsi="Times New Roman" w:cs="Times New Roman"/>
                <w:color w:val="000000" w:themeColor="text1"/>
                <w:sz w:val="22"/>
              </w:rPr>
              <w:t>HFrEF</w:t>
            </w:r>
            <w:proofErr w:type="spellEnd"/>
          </w:p>
        </w:tc>
        <w:tc>
          <w:tcPr>
            <w:tcW w:w="2285" w:type="dxa"/>
            <w:tcBorders>
              <w:top w:val="nil"/>
              <w:left w:val="nil"/>
              <w:bottom w:val="nil"/>
              <w:right w:val="nil"/>
            </w:tcBorders>
            <w:shd w:val="clear" w:color="auto" w:fill="auto"/>
            <w:noWrap/>
            <w:vAlign w:val="center"/>
            <w:hideMark/>
          </w:tcPr>
          <w:p w14:paraId="417F9ADA"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54 (15.0%)</w:t>
            </w:r>
          </w:p>
        </w:tc>
        <w:tc>
          <w:tcPr>
            <w:tcW w:w="2285" w:type="dxa"/>
            <w:tcBorders>
              <w:top w:val="nil"/>
              <w:left w:val="nil"/>
              <w:bottom w:val="nil"/>
              <w:right w:val="nil"/>
            </w:tcBorders>
            <w:shd w:val="clear" w:color="auto" w:fill="auto"/>
            <w:noWrap/>
            <w:vAlign w:val="center"/>
            <w:hideMark/>
          </w:tcPr>
          <w:p w14:paraId="57647276"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79 (21.9%)</w:t>
            </w:r>
          </w:p>
        </w:tc>
        <w:tc>
          <w:tcPr>
            <w:tcW w:w="2057" w:type="dxa"/>
            <w:tcBorders>
              <w:top w:val="nil"/>
              <w:left w:val="nil"/>
              <w:bottom w:val="nil"/>
              <w:right w:val="nil"/>
            </w:tcBorders>
            <w:shd w:val="clear" w:color="auto" w:fill="auto"/>
            <w:noWrap/>
            <w:vAlign w:val="center"/>
            <w:hideMark/>
          </w:tcPr>
          <w:p w14:paraId="43880DD5"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0.70 (0.52–0.95)</w:t>
            </w:r>
          </w:p>
        </w:tc>
        <w:tc>
          <w:tcPr>
            <w:tcW w:w="1192" w:type="dxa"/>
            <w:tcBorders>
              <w:top w:val="nil"/>
              <w:left w:val="nil"/>
              <w:bottom w:val="nil"/>
              <w:right w:val="nil"/>
            </w:tcBorders>
            <w:shd w:val="clear" w:color="auto" w:fill="auto"/>
            <w:noWrap/>
            <w:vAlign w:val="center"/>
            <w:hideMark/>
          </w:tcPr>
          <w:p w14:paraId="55876C9C"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0.02</w:t>
            </w:r>
          </w:p>
        </w:tc>
      </w:tr>
      <w:tr w:rsidR="007B1EFF" w:rsidRPr="00CF6C17" w14:paraId="5A9D1312" w14:textId="77777777" w:rsidTr="00841AA7">
        <w:trPr>
          <w:trHeight w:val="392"/>
        </w:trPr>
        <w:tc>
          <w:tcPr>
            <w:tcW w:w="1911" w:type="dxa"/>
            <w:tcBorders>
              <w:top w:val="nil"/>
              <w:left w:val="nil"/>
              <w:bottom w:val="nil"/>
              <w:right w:val="nil"/>
            </w:tcBorders>
            <w:shd w:val="clear" w:color="auto" w:fill="auto"/>
            <w:noWrap/>
            <w:vAlign w:val="center"/>
            <w:hideMark/>
          </w:tcPr>
          <w:p w14:paraId="0E8ACA8A"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 xml:space="preserve">  </w:t>
            </w:r>
            <w:proofErr w:type="spellStart"/>
            <w:r w:rsidRPr="00CF6C17">
              <w:rPr>
                <w:rFonts w:ascii="Times New Roman" w:hAnsi="Times New Roman" w:cs="Times New Roman"/>
                <w:color w:val="000000" w:themeColor="text1"/>
                <w:sz w:val="22"/>
              </w:rPr>
              <w:t>HFmrEF</w:t>
            </w:r>
            <w:proofErr w:type="spellEnd"/>
          </w:p>
        </w:tc>
        <w:tc>
          <w:tcPr>
            <w:tcW w:w="2285" w:type="dxa"/>
            <w:tcBorders>
              <w:top w:val="nil"/>
              <w:left w:val="nil"/>
              <w:bottom w:val="nil"/>
              <w:right w:val="nil"/>
            </w:tcBorders>
            <w:shd w:val="clear" w:color="auto" w:fill="auto"/>
            <w:noWrap/>
            <w:vAlign w:val="center"/>
            <w:hideMark/>
          </w:tcPr>
          <w:p w14:paraId="7D88D30A"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16 (10.9%)</w:t>
            </w:r>
          </w:p>
        </w:tc>
        <w:tc>
          <w:tcPr>
            <w:tcW w:w="2285" w:type="dxa"/>
            <w:tcBorders>
              <w:top w:val="nil"/>
              <w:left w:val="nil"/>
              <w:bottom w:val="nil"/>
              <w:right w:val="nil"/>
            </w:tcBorders>
            <w:shd w:val="clear" w:color="auto" w:fill="auto"/>
            <w:noWrap/>
            <w:vAlign w:val="center"/>
            <w:hideMark/>
          </w:tcPr>
          <w:p w14:paraId="05152EB5"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35 (23.0%)</w:t>
            </w:r>
          </w:p>
        </w:tc>
        <w:tc>
          <w:tcPr>
            <w:tcW w:w="2057" w:type="dxa"/>
            <w:tcBorders>
              <w:top w:val="nil"/>
              <w:left w:val="nil"/>
              <w:bottom w:val="nil"/>
              <w:right w:val="nil"/>
            </w:tcBorders>
            <w:shd w:val="clear" w:color="auto" w:fill="auto"/>
            <w:noWrap/>
            <w:vAlign w:val="center"/>
            <w:hideMark/>
          </w:tcPr>
          <w:p w14:paraId="18AD83D6"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0.59 (0.35–0.96)</w:t>
            </w:r>
          </w:p>
        </w:tc>
        <w:tc>
          <w:tcPr>
            <w:tcW w:w="1192" w:type="dxa"/>
            <w:tcBorders>
              <w:top w:val="nil"/>
              <w:left w:val="nil"/>
              <w:bottom w:val="nil"/>
              <w:right w:val="nil"/>
            </w:tcBorders>
            <w:shd w:val="clear" w:color="auto" w:fill="auto"/>
            <w:noWrap/>
            <w:vAlign w:val="center"/>
            <w:hideMark/>
          </w:tcPr>
          <w:p w14:paraId="53A7776B"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0.036</w:t>
            </w:r>
          </w:p>
        </w:tc>
      </w:tr>
      <w:tr w:rsidR="007B1EFF" w:rsidRPr="00CF6C17" w14:paraId="5F5A3916" w14:textId="77777777" w:rsidTr="00841AA7">
        <w:trPr>
          <w:trHeight w:val="392"/>
        </w:trPr>
        <w:tc>
          <w:tcPr>
            <w:tcW w:w="1911" w:type="dxa"/>
            <w:tcBorders>
              <w:top w:val="nil"/>
              <w:left w:val="nil"/>
              <w:bottom w:val="nil"/>
              <w:right w:val="nil"/>
            </w:tcBorders>
            <w:shd w:val="clear" w:color="auto" w:fill="auto"/>
            <w:noWrap/>
            <w:vAlign w:val="center"/>
            <w:hideMark/>
          </w:tcPr>
          <w:p w14:paraId="56F17327"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 xml:space="preserve">  </w:t>
            </w:r>
            <w:proofErr w:type="spellStart"/>
            <w:r w:rsidRPr="00CF6C17">
              <w:rPr>
                <w:rFonts w:ascii="Times New Roman" w:hAnsi="Times New Roman" w:cs="Times New Roman"/>
                <w:color w:val="000000" w:themeColor="text1"/>
                <w:sz w:val="22"/>
              </w:rPr>
              <w:t>HFpEF</w:t>
            </w:r>
            <w:proofErr w:type="spellEnd"/>
          </w:p>
        </w:tc>
        <w:tc>
          <w:tcPr>
            <w:tcW w:w="2285" w:type="dxa"/>
            <w:tcBorders>
              <w:top w:val="nil"/>
              <w:left w:val="nil"/>
              <w:bottom w:val="nil"/>
              <w:right w:val="nil"/>
            </w:tcBorders>
            <w:shd w:val="clear" w:color="auto" w:fill="auto"/>
            <w:noWrap/>
            <w:vAlign w:val="center"/>
            <w:hideMark/>
          </w:tcPr>
          <w:p w14:paraId="07DB824D"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70 (16.8%)</w:t>
            </w:r>
          </w:p>
        </w:tc>
        <w:tc>
          <w:tcPr>
            <w:tcW w:w="2285" w:type="dxa"/>
            <w:tcBorders>
              <w:top w:val="nil"/>
              <w:left w:val="nil"/>
              <w:bottom w:val="nil"/>
              <w:right w:val="nil"/>
            </w:tcBorders>
            <w:shd w:val="clear" w:color="auto" w:fill="auto"/>
            <w:noWrap/>
            <w:vAlign w:val="center"/>
            <w:hideMark/>
          </w:tcPr>
          <w:p w14:paraId="0B22835E"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79 (19.1%)</w:t>
            </w:r>
          </w:p>
        </w:tc>
        <w:tc>
          <w:tcPr>
            <w:tcW w:w="2057" w:type="dxa"/>
            <w:tcBorders>
              <w:top w:val="nil"/>
              <w:left w:val="nil"/>
              <w:bottom w:val="single" w:sz="4" w:space="0" w:color="auto"/>
              <w:right w:val="nil"/>
            </w:tcBorders>
            <w:shd w:val="clear" w:color="auto" w:fill="auto"/>
            <w:noWrap/>
            <w:vAlign w:val="center"/>
            <w:hideMark/>
          </w:tcPr>
          <w:p w14:paraId="461653E3"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0.79 (0.60–1.05)</w:t>
            </w:r>
          </w:p>
        </w:tc>
        <w:tc>
          <w:tcPr>
            <w:tcW w:w="1192" w:type="dxa"/>
            <w:tcBorders>
              <w:top w:val="nil"/>
              <w:left w:val="nil"/>
              <w:bottom w:val="single" w:sz="4" w:space="0" w:color="auto"/>
              <w:right w:val="nil"/>
            </w:tcBorders>
            <w:shd w:val="clear" w:color="auto" w:fill="auto"/>
            <w:noWrap/>
            <w:vAlign w:val="center"/>
            <w:hideMark/>
          </w:tcPr>
          <w:p w14:paraId="619D01C8"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0.11</w:t>
            </w:r>
          </w:p>
        </w:tc>
      </w:tr>
      <w:tr w:rsidR="007B1EFF" w:rsidRPr="00CF6C17" w14:paraId="192EA59B" w14:textId="77777777" w:rsidTr="00841AA7">
        <w:trPr>
          <w:trHeight w:val="392"/>
        </w:trPr>
        <w:tc>
          <w:tcPr>
            <w:tcW w:w="4196" w:type="dxa"/>
            <w:gridSpan w:val="2"/>
            <w:tcBorders>
              <w:top w:val="single" w:sz="4" w:space="0" w:color="auto"/>
              <w:left w:val="nil"/>
              <w:bottom w:val="single" w:sz="4" w:space="0" w:color="auto"/>
              <w:right w:val="nil"/>
            </w:tcBorders>
            <w:shd w:val="clear" w:color="auto" w:fill="auto"/>
            <w:noWrap/>
            <w:vAlign w:val="center"/>
            <w:hideMark/>
          </w:tcPr>
          <w:p w14:paraId="234CDC42"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HF hospitalization</w:t>
            </w:r>
          </w:p>
        </w:tc>
        <w:tc>
          <w:tcPr>
            <w:tcW w:w="2285" w:type="dxa"/>
            <w:tcBorders>
              <w:top w:val="single" w:sz="4" w:space="0" w:color="auto"/>
              <w:left w:val="nil"/>
              <w:bottom w:val="single" w:sz="4" w:space="0" w:color="auto"/>
              <w:right w:val="nil"/>
            </w:tcBorders>
            <w:shd w:val="clear" w:color="auto" w:fill="auto"/>
            <w:noWrap/>
            <w:vAlign w:val="center"/>
            <w:hideMark/>
          </w:tcPr>
          <w:p w14:paraId="56AA8C98"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 xml:space="preserve">　</w:t>
            </w:r>
          </w:p>
        </w:tc>
        <w:tc>
          <w:tcPr>
            <w:tcW w:w="2057" w:type="dxa"/>
            <w:tcBorders>
              <w:top w:val="nil"/>
              <w:left w:val="nil"/>
              <w:bottom w:val="single" w:sz="4" w:space="0" w:color="auto"/>
              <w:right w:val="nil"/>
            </w:tcBorders>
            <w:shd w:val="clear" w:color="auto" w:fill="auto"/>
            <w:noWrap/>
            <w:vAlign w:val="center"/>
            <w:hideMark/>
          </w:tcPr>
          <w:p w14:paraId="67E07B08"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 xml:space="preserve">　</w:t>
            </w:r>
          </w:p>
        </w:tc>
        <w:tc>
          <w:tcPr>
            <w:tcW w:w="1192" w:type="dxa"/>
            <w:tcBorders>
              <w:top w:val="nil"/>
              <w:left w:val="nil"/>
              <w:bottom w:val="single" w:sz="4" w:space="0" w:color="auto"/>
              <w:right w:val="nil"/>
            </w:tcBorders>
            <w:shd w:val="clear" w:color="auto" w:fill="auto"/>
            <w:noWrap/>
            <w:vAlign w:val="center"/>
            <w:hideMark/>
          </w:tcPr>
          <w:p w14:paraId="29DCDD9D"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 xml:space="preserve">　</w:t>
            </w:r>
          </w:p>
        </w:tc>
      </w:tr>
      <w:tr w:rsidR="007B1EFF" w:rsidRPr="00CF6C17" w14:paraId="6528D651" w14:textId="77777777" w:rsidTr="00841AA7">
        <w:trPr>
          <w:trHeight w:val="392"/>
        </w:trPr>
        <w:tc>
          <w:tcPr>
            <w:tcW w:w="1911" w:type="dxa"/>
            <w:tcBorders>
              <w:top w:val="nil"/>
              <w:left w:val="nil"/>
              <w:bottom w:val="nil"/>
              <w:right w:val="nil"/>
            </w:tcBorders>
            <w:shd w:val="clear" w:color="auto" w:fill="auto"/>
            <w:noWrap/>
            <w:vAlign w:val="center"/>
            <w:hideMark/>
          </w:tcPr>
          <w:p w14:paraId="2D93EF6B"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 xml:space="preserve">  </w:t>
            </w:r>
            <w:proofErr w:type="spellStart"/>
            <w:r w:rsidRPr="00CF6C17">
              <w:rPr>
                <w:rFonts w:ascii="Times New Roman" w:hAnsi="Times New Roman" w:cs="Times New Roman"/>
                <w:color w:val="000000" w:themeColor="text1"/>
                <w:sz w:val="22"/>
              </w:rPr>
              <w:t>HFrEF</w:t>
            </w:r>
            <w:proofErr w:type="spellEnd"/>
          </w:p>
        </w:tc>
        <w:tc>
          <w:tcPr>
            <w:tcW w:w="2285" w:type="dxa"/>
            <w:tcBorders>
              <w:top w:val="nil"/>
              <w:left w:val="nil"/>
              <w:bottom w:val="nil"/>
              <w:right w:val="nil"/>
            </w:tcBorders>
            <w:shd w:val="clear" w:color="auto" w:fill="auto"/>
            <w:noWrap/>
            <w:vAlign w:val="center"/>
            <w:hideMark/>
          </w:tcPr>
          <w:p w14:paraId="1F54B9FC"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99 (28.1%)</w:t>
            </w:r>
          </w:p>
        </w:tc>
        <w:tc>
          <w:tcPr>
            <w:tcW w:w="2285" w:type="dxa"/>
            <w:tcBorders>
              <w:top w:val="nil"/>
              <w:left w:val="nil"/>
              <w:bottom w:val="nil"/>
              <w:right w:val="nil"/>
            </w:tcBorders>
            <w:shd w:val="clear" w:color="auto" w:fill="auto"/>
            <w:noWrap/>
            <w:vAlign w:val="center"/>
            <w:hideMark/>
          </w:tcPr>
          <w:p w14:paraId="106FB16C"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92 (27.1%)</w:t>
            </w:r>
          </w:p>
        </w:tc>
        <w:tc>
          <w:tcPr>
            <w:tcW w:w="2057" w:type="dxa"/>
            <w:tcBorders>
              <w:top w:val="nil"/>
              <w:left w:val="nil"/>
              <w:bottom w:val="nil"/>
              <w:right w:val="nil"/>
            </w:tcBorders>
            <w:shd w:val="clear" w:color="auto" w:fill="auto"/>
            <w:noWrap/>
            <w:vAlign w:val="center"/>
            <w:hideMark/>
          </w:tcPr>
          <w:p w14:paraId="27F62A8B"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0.97 (0.74–1.26)</w:t>
            </w:r>
          </w:p>
        </w:tc>
        <w:tc>
          <w:tcPr>
            <w:tcW w:w="1192" w:type="dxa"/>
            <w:tcBorders>
              <w:top w:val="nil"/>
              <w:left w:val="nil"/>
              <w:bottom w:val="nil"/>
              <w:right w:val="nil"/>
            </w:tcBorders>
            <w:shd w:val="clear" w:color="auto" w:fill="auto"/>
            <w:noWrap/>
            <w:vAlign w:val="center"/>
            <w:hideMark/>
          </w:tcPr>
          <w:p w14:paraId="29CAD3B7"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0.80</w:t>
            </w:r>
          </w:p>
        </w:tc>
      </w:tr>
      <w:tr w:rsidR="007B1EFF" w:rsidRPr="00CF6C17" w14:paraId="575C65D5" w14:textId="77777777" w:rsidTr="00841AA7">
        <w:trPr>
          <w:trHeight w:val="392"/>
        </w:trPr>
        <w:tc>
          <w:tcPr>
            <w:tcW w:w="1911" w:type="dxa"/>
            <w:tcBorders>
              <w:top w:val="nil"/>
              <w:left w:val="nil"/>
              <w:bottom w:val="nil"/>
              <w:right w:val="nil"/>
            </w:tcBorders>
            <w:shd w:val="clear" w:color="auto" w:fill="auto"/>
            <w:noWrap/>
            <w:vAlign w:val="center"/>
            <w:hideMark/>
          </w:tcPr>
          <w:p w14:paraId="6AB2BC29"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 xml:space="preserve">  </w:t>
            </w:r>
            <w:proofErr w:type="spellStart"/>
            <w:r w:rsidRPr="00CF6C17">
              <w:rPr>
                <w:rFonts w:ascii="Times New Roman" w:hAnsi="Times New Roman" w:cs="Times New Roman"/>
                <w:color w:val="000000" w:themeColor="text1"/>
                <w:sz w:val="22"/>
              </w:rPr>
              <w:t>HFmrEF</w:t>
            </w:r>
            <w:proofErr w:type="spellEnd"/>
          </w:p>
        </w:tc>
        <w:tc>
          <w:tcPr>
            <w:tcW w:w="2285" w:type="dxa"/>
            <w:tcBorders>
              <w:top w:val="nil"/>
              <w:left w:val="nil"/>
              <w:bottom w:val="nil"/>
              <w:right w:val="nil"/>
            </w:tcBorders>
            <w:shd w:val="clear" w:color="auto" w:fill="auto"/>
            <w:noWrap/>
            <w:vAlign w:val="center"/>
            <w:hideMark/>
          </w:tcPr>
          <w:p w14:paraId="65E96FD2"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23 (16.2%)</w:t>
            </w:r>
          </w:p>
        </w:tc>
        <w:tc>
          <w:tcPr>
            <w:tcW w:w="2285" w:type="dxa"/>
            <w:tcBorders>
              <w:top w:val="nil"/>
              <w:left w:val="nil"/>
              <w:bottom w:val="nil"/>
              <w:right w:val="nil"/>
            </w:tcBorders>
            <w:shd w:val="clear" w:color="auto" w:fill="auto"/>
            <w:noWrap/>
            <w:vAlign w:val="center"/>
            <w:hideMark/>
          </w:tcPr>
          <w:p w14:paraId="4773BFF4"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29 (20.5%)</w:t>
            </w:r>
          </w:p>
        </w:tc>
        <w:tc>
          <w:tcPr>
            <w:tcW w:w="2057" w:type="dxa"/>
            <w:tcBorders>
              <w:top w:val="nil"/>
              <w:left w:val="nil"/>
              <w:bottom w:val="nil"/>
              <w:right w:val="nil"/>
            </w:tcBorders>
            <w:shd w:val="clear" w:color="auto" w:fill="auto"/>
            <w:noWrap/>
            <w:vAlign w:val="center"/>
            <w:hideMark/>
          </w:tcPr>
          <w:p w14:paraId="3E97C65D"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0.72 (0.44–1.18)</w:t>
            </w:r>
          </w:p>
        </w:tc>
        <w:tc>
          <w:tcPr>
            <w:tcW w:w="1192" w:type="dxa"/>
            <w:tcBorders>
              <w:top w:val="nil"/>
              <w:left w:val="nil"/>
              <w:bottom w:val="nil"/>
              <w:right w:val="nil"/>
            </w:tcBorders>
            <w:shd w:val="clear" w:color="auto" w:fill="auto"/>
            <w:noWrap/>
            <w:vAlign w:val="center"/>
            <w:hideMark/>
          </w:tcPr>
          <w:p w14:paraId="5FA1A5A4"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0.19</w:t>
            </w:r>
          </w:p>
        </w:tc>
      </w:tr>
      <w:tr w:rsidR="007B1EFF" w:rsidRPr="00CF6C17" w14:paraId="2B2C7FFD" w14:textId="77777777" w:rsidTr="00841AA7">
        <w:trPr>
          <w:trHeight w:val="392"/>
        </w:trPr>
        <w:tc>
          <w:tcPr>
            <w:tcW w:w="1911" w:type="dxa"/>
            <w:tcBorders>
              <w:top w:val="nil"/>
              <w:left w:val="nil"/>
              <w:bottom w:val="nil"/>
              <w:right w:val="nil"/>
            </w:tcBorders>
            <w:shd w:val="clear" w:color="auto" w:fill="auto"/>
            <w:noWrap/>
            <w:vAlign w:val="center"/>
            <w:hideMark/>
          </w:tcPr>
          <w:p w14:paraId="0EBB93BE"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 xml:space="preserve">  </w:t>
            </w:r>
            <w:proofErr w:type="spellStart"/>
            <w:r w:rsidRPr="00CF6C17">
              <w:rPr>
                <w:rFonts w:ascii="Times New Roman" w:hAnsi="Times New Roman" w:cs="Times New Roman"/>
                <w:color w:val="000000" w:themeColor="text1"/>
                <w:sz w:val="22"/>
              </w:rPr>
              <w:t>HFpEF</w:t>
            </w:r>
            <w:proofErr w:type="spellEnd"/>
          </w:p>
        </w:tc>
        <w:tc>
          <w:tcPr>
            <w:tcW w:w="2285" w:type="dxa"/>
            <w:tcBorders>
              <w:top w:val="nil"/>
              <w:left w:val="nil"/>
              <w:bottom w:val="nil"/>
              <w:right w:val="nil"/>
            </w:tcBorders>
            <w:shd w:val="clear" w:color="auto" w:fill="auto"/>
            <w:noWrap/>
            <w:vAlign w:val="center"/>
            <w:hideMark/>
          </w:tcPr>
          <w:p w14:paraId="4D1FA110"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94 (23.7%)</w:t>
            </w:r>
          </w:p>
        </w:tc>
        <w:tc>
          <w:tcPr>
            <w:tcW w:w="2285" w:type="dxa"/>
            <w:tcBorders>
              <w:top w:val="nil"/>
              <w:left w:val="nil"/>
              <w:bottom w:val="nil"/>
              <w:right w:val="nil"/>
            </w:tcBorders>
            <w:shd w:val="clear" w:color="auto" w:fill="auto"/>
            <w:noWrap/>
            <w:vAlign w:val="center"/>
            <w:hideMark/>
          </w:tcPr>
          <w:p w14:paraId="5172AFC3"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80 (21.1%)</w:t>
            </w:r>
          </w:p>
        </w:tc>
        <w:tc>
          <w:tcPr>
            <w:tcW w:w="2057" w:type="dxa"/>
            <w:tcBorders>
              <w:top w:val="nil"/>
              <w:left w:val="nil"/>
              <w:bottom w:val="single" w:sz="4" w:space="0" w:color="auto"/>
              <w:right w:val="nil"/>
            </w:tcBorders>
            <w:shd w:val="clear" w:color="auto" w:fill="auto"/>
            <w:noWrap/>
            <w:vAlign w:val="center"/>
            <w:hideMark/>
          </w:tcPr>
          <w:p w14:paraId="37CDBA96"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1.15 (0.88–1.52)</w:t>
            </w:r>
          </w:p>
        </w:tc>
        <w:tc>
          <w:tcPr>
            <w:tcW w:w="1192" w:type="dxa"/>
            <w:tcBorders>
              <w:top w:val="nil"/>
              <w:left w:val="nil"/>
              <w:bottom w:val="single" w:sz="4" w:space="0" w:color="auto"/>
              <w:right w:val="nil"/>
            </w:tcBorders>
            <w:shd w:val="clear" w:color="auto" w:fill="auto"/>
            <w:noWrap/>
            <w:vAlign w:val="center"/>
            <w:hideMark/>
          </w:tcPr>
          <w:p w14:paraId="6A7BD1CC"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0.30</w:t>
            </w:r>
          </w:p>
        </w:tc>
      </w:tr>
      <w:tr w:rsidR="007B1EFF" w:rsidRPr="00CF6C17" w14:paraId="6705033A" w14:textId="77777777" w:rsidTr="00841AA7">
        <w:trPr>
          <w:trHeight w:val="392"/>
        </w:trPr>
        <w:tc>
          <w:tcPr>
            <w:tcW w:w="4196" w:type="dxa"/>
            <w:gridSpan w:val="2"/>
            <w:tcBorders>
              <w:top w:val="single" w:sz="4" w:space="0" w:color="auto"/>
              <w:left w:val="nil"/>
              <w:bottom w:val="single" w:sz="4" w:space="0" w:color="auto"/>
              <w:right w:val="nil"/>
            </w:tcBorders>
            <w:shd w:val="clear" w:color="auto" w:fill="auto"/>
            <w:noWrap/>
            <w:vAlign w:val="center"/>
            <w:hideMark/>
          </w:tcPr>
          <w:p w14:paraId="6536D092"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Cardiovascular death + HF hospitalization</w:t>
            </w:r>
          </w:p>
        </w:tc>
        <w:tc>
          <w:tcPr>
            <w:tcW w:w="2285" w:type="dxa"/>
            <w:tcBorders>
              <w:top w:val="single" w:sz="4" w:space="0" w:color="auto"/>
              <w:left w:val="nil"/>
              <w:bottom w:val="single" w:sz="4" w:space="0" w:color="auto"/>
              <w:right w:val="nil"/>
            </w:tcBorders>
            <w:shd w:val="clear" w:color="auto" w:fill="auto"/>
            <w:noWrap/>
            <w:vAlign w:val="center"/>
            <w:hideMark/>
          </w:tcPr>
          <w:p w14:paraId="02EC4BB5"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 xml:space="preserve">　</w:t>
            </w:r>
          </w:p>
        </w:tc>
        <w:tc>
          <w:tcPr>
            <w:tcW w:w="2057" w:type="dxa"/>
            <w:tcBorders>
              <w:top w:val="nil"/>
              <w:left w:val="nil"/>
              <w:bottom w:val="single" w:sz="4" w:space="0" w:color="auto"/>
              <w:right w:val="nil"/>
            </w:tcBorders>
            <w:shd w:val="clear" w:color="auto" w:fill="auto"/>
            <w:noWrap/>
            <w:vAlign w:val="center"/>
            <w:hideMark/>
          </w:tcPr>
          <w:p w14:paraId="3E2109FD"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 xml:space="preserve">　</w:t>
            </w:r>
          </w:p>
        </w:tc>
        <w:tc>
          <w:tcPr>
            <w:tcW w:w="1192" w:type="dxa"/>
            <w:tcBorders>
              <w:top w:val="nil"/>
              <w:left w:val="nil"/>
              <w:bottom w:val="single" w:sz="4" w:space="0" w:color="auto"/>
              <w:right w:val="nil"/>
            </w:tcBorders>
            <w:shd w:val="clear" w:color="auto" w:fill="auto"/>
            <w:noWrap/>
            <w:vAlign w:val="center"/>
            <w:hideMark/>
          </w:tcPr>
          <w:p w14:paraId="14890156"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 xml:space="preserve">　</w:t>
            </w:r>
          </w:p>
        </w:tc>
      </w:tr>
      <w:tr w:rsidR="007B1EFF" w:rsidRPr="00CF6C17" w14:paraId="73FA1F13" w14:textId="77777777" w:rsidTr="00841AA7">
        <w:trPr>
          <w:trHeight w:val="392"/>
        </w:trPr>
        <w:tc>
          <w:tcPr>
            <w:tcW w:w="1911" w:type="dxa"/>
            <w:tcBorders>
              <w:top w:val="nil"/>
              <w:left w:val="nil"/>
              <w:bottom w:val="nil"/>
              <w:right w:val="nil"/>
            </w:tcBorders>
            <w:shd w:val="clear" w:color="auto" w:fill="auto"/>
            <w:noWrap/>
            <w:vAlign w:val="center"/>
            <w:hideMark/>
          </w:tcPr>
          <w:p w14:paraId="4659B0BF"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 xml:space="preserve">  </w:t>
            </w:r>
            <w:proofErr w:type="spellStart"/>
            <w:r w:rsidRPr="00CF6C17">
              <w:rPr>
                <w:rFonts w:ascii="Times New Roman" w:hAnsi="Times New Roman" w:cs="Times New Roman"/>
                <w:color w:val="000000" w:themeColor="text1"/>
                <w:sz w:val="22"/>
              </w:rPr>
              <w:t>HFrEF</w:t>
            </w:r>
            <w:proofErr w:type="spellEnd"/>
          </w:p>
        </w:tc>
        <w:tc>
          <w:tcPr>
            <w:tcW w:w="2285" w:type="dxa"/>
            <w:tcBorders>
              <w:top w:val="nil"/>
              <w:left w:val="nil"/>
              <w:bottom w:val="nil"/>
              <w:right w:val="nil"/>
            </w:tcBorders>
            <w:shd w:val="clear" w:color="auto" w:fill="auto"/>
            <w:noWrap/>
            <w:vAlign w:val="center"/>
            <w:hideMark/>
          </w:tcPr>
          <w:p w14:paraId="79DE5FB5"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hint="eastAsia"/>
                <w:color w:val="000000" w:themeColor="text1"/>
                <w:sz w:val="22"/>
              </w:rPr>
              <w:t>1</w:t>
            </w:r>
            <w:r w:rsidRPr="00CF6C17">
              <w:rPr>
                <w:rFonts w:ascii="Times New Roman" w:hAnsi="Times New Roman" w:cs="Times New Roman"/>
                <w:color w:val="000000" w:themeColor="text1"/>
                <w:sz w:val="22"/>
              </w:rPr>
              <w:t>15 (31.9%)</w:t>
            </w:r>
          </w:p>
        </w:tc>
        <w:tc>
          <w:tcPr>
            <w:tcW w:w="2285" w:type="dxa"/>
            <w:tcBorders>
              <w:top w:val="nil"/>
              <w:left w:val="nil"/>
              <w:bottom w:val="nil"/>
              <w:right w:val="nil"/>
            </w:tcBorders>
            <w:shd w:val="clear" w:color="auto" w:fill="auto"/>
            <w:noWrap/>
            <w:vAlign w:val="center"/>
            <w:hideMark/>
          </w:tcPr>
          <w:p w14:paraId="630A982A"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120 (</w:t>
            </w:r>
            <w:r w:rsidRPr="00CF6C17">
              <w:rPr>
                <w:rFonts w:ascii="Times New Roman" w:hAnsi="Times New Roman" w:cs="Times New Roman" w:hint="eastAsia"/>
                <w:color w:val="000000" w:themeColor="text1"/>
                <w:sz w:val="22"/>
              </w:rPr>
              <w:t>3</w:t>
            </w:r>
            <w:r w:rsidRPr="00CF6C17">
              <w:rPr>
                <w:rFonts w:ascii="Times New Roman" w:hAnsi="Times New Roman" w:cs="Times New Roman"/>
                <w:color w:val="000000" w:themeColor="text1"/>
                <w:sz w:val="22"/>
              </w:rPr>
              <w:t>4.0%)</w:t>
            </w:r>
          </w:p>
        </w:tc>
        <w:tc>
          <w:tcPr>
            <w:tcW w:w="2057" w:type="dxa"/>
            <w:tcBorders>
              <w:top w:val="nil"/>
              <w:left w:val="nil"/>
              <w:bottom w:val="nil"/>
              <w:right w:val="nil"/>
            </w:tcBorders>
            <w:shd w:val="clear" w:color="auto" w:fill="auto"/>
            <w:noWrap/>
            <w:vAlign w:val="center"/>
            <w:hideMark/>
          </w:tcPr>
          <w:p w14:paraId="287C7560"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hint="eastAsia"/>
                <w:color w:val="000000" w:themeColor="text1"/>
                <w:sz w:val="22"/>
              </w:rPr>
              <w:t>0</w:t>
            </w:r>
            <w:r w:rsidRPr="00CF6C17">
              <w:rPr>
                <w:rFonts w:ascii="Times New Roman" w:hAnsi="Times New Roman" w:cs="Times New Roman"/>
                <w:color w:val="000000" w:themeColor="text1"/>
                <w:sz w:val="22"/>
              </w:rPr>
              <w:t>.87 (0.69–1.10)</w:t>
            </w:r>
          </w:p>
        </w:tc>
        <w:tc>
          <w:tcPr>
            <w:tcW w:w="1192" w:type="dxa"/>
            <w:tcBorders>
              <w:top w:val="nil"/>
              <w:left w:val="nil"/>
              <w:bottom w:val="nil"/>
              <w:right w:val="nil"/>
            </w:tcBorders>
            <w:shd w:val="clear" w:color="auto" w:fill="auto"/>
            <w:noWrap/>
            <w:vAlign w:val="center"/>
            <w:hideMark/>
          </w:tcPr>
          <w:p w14:paraId="49AFAFDA"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hint="eastAsia"/>
                <w:color w:val="000000" w:themeColor="text1"/>
                <w:sz w:val="22"/>
              </w:rPr>
              <w:t>0</w:t>
            </w:r>
            <w:r w:rsidRPr="00CF6C17">
              <w:rPr>
                <w:rFonts w:ascii="Times New Roman" w:hAnsi="Times New Roman" w:cs="Times New Roman"/>
                <w:color w:val="000000" w:themeColor="text1"/>
                <w:sz w:val="22"/>
              </w:rPr>
              <w:t>.25</w:t>
            </w:r>
          </w:p>
        </w:tc>
      </w:tr>
      <w:tr w:rsidR="007B1EFF" w:rsidRPr="00CF6C17" w14:paraId="0D151F84" w14:textId="77777777" w:rsidTr="00841AA7">
        <w:trPr>
          <w:trHeight w:val="392"/>
        </w:trPr>
        <w:tc>
          <w:tcPr>
            <w:tcW w:w="1911" w:type="dxa"/>
            <w:tcBorders>
              <w:top w:val="nil"/>
              <w:left w:val="nil"/>
              <w:bottom w:val="nil"/>
              <w:right w:val="nil"/>
            </w:tcBorders>
            <w:shd w:val="clear" w:color="auto" w:fill="auto"/>
            <w:noWrap/>
            <w:vAlign w:val="center"/>
            <w:hideMark/>
          </w:tcPr>
          <w:p w14:paraId="5D8716C9"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 xml:space="preserve">  </w:t>
            </w:r>
            <w:proofErr w:type="spellStart"/>
            <w:r w:rsidRPr="00CF6C17">
              <w:rPr>
                <w:rFonts w:ascii="Times New Roman" w:hAnsi="Times New Roman" w:cs="Times New Roman"/>
                <w:color w:val="000000" w:themeColor="text1"/>
                <w:sz w:val="22"/>
              </w:rPr>
              <w:t>HFmrEF</w:t>
            </w:r>
            <w:proofErr w:type="spellEnd"/>
          </w:p>
        </w:tc>
        <w:tc>
          <w:tcPr>
            <w:tcW w:w="2285" w:type="dxa"/>
            <w:tcBorders>
              <w:top w:val="nil"/>
              <w:left w:val="nil"/>
              <w:bottom w:val="nil"/>
              <w:right w:val="nil"/>
            </w:tcBorders>
            <w:shd w:val="clear" w:color="auto" w:fill="auto"/>
            <w:noWrap/>
            <w:vAlign w:val="center"/>
            <w:hideMark/>
          </w:tcPr>
          <w:p w14:paraId="2281F2AA"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hint="eastAsia"/>
                <w:color w:val="000000" w:themeColor="text1"/>
                <w:sz w:val="22"/>
              </w:rPr>
              <w:t>3</w:t>
            </w:r>
            <w:r w:rsidRPr="00CF6C17">
              <w:rPr>
                <w:rFonts w:ascii="Times New Roman" w:hAnsi="Times New Roman" w:cs="Times New Roman"/>
                <w:color w:val="000000" w:themeColor="text1"/>
                <w:sz w:val="22"/>
              </w:rPr>
              <w:t>4 (23.5%)</w:t>
            </w:r>
          </w:p>
        </w:tc>
        <w:tc>
          <w:tcPr>
            <w:tcW w:w="2285" w:type="dxa"/>
            <w:tcBorders>
              <w:top w:val="nil"/>
              <w:left w:val="nil"/>
              <w:bottom w:val="nil"/>
              <w:right w:val="nil"/>
            </w:tcBorders>
            <w:shd w:val="clear" w:color="auto" w:fill="auto"/>
            <w:noWrap/>
            <w:vAlign w:val="center"/>
            <w:hideMark/>
          </w:tcPr>
          <w:p w14:paraId="6E472ED5"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hint="eastAsia"/>
                <w:color w:val="000000" w:themeColor="text1"/>
                <w:sz w:val="22"/>
              </w:rPr>
              <w:t>4</w:t>
            </w:r>
            <w:r w:rsidRPr="00CF6C17">
              <w:rPr>
                <w:rFonts w:ascii="Times New Roman" w:hAnsi="Times New Roman" w:cs="Times New Roman"/>
                <w:color w:val="000000" w:themeColor="text1"/>
                <w:sz w:val="22"/>
              </w:rPr>
              <w:t>0 (26.8%)</w:t>
            </w:r>
          </w:p>
        </w:tc>
        <w:tc>
          <w:tcPr>
            <w:tcW w:w="2057" w:type="dxa"/>
            <w:tcBorders>
              <w:top w:val="nil"/>
              <w:left w:val="nil"/>
              <w:bottom w:val="nil"/>
              <w:right w:val="nil"/>
            </w:tcBorders>
            <w:shd w:val="clear" w:color="auto" w:fill="auto"/>
            <w:noWrap/>
            <w:vAlign w:val="center"/>
            <w:hideMark/>
          </w:tcPr>
          <w:p w14:paraId="3BDCA1BB"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hint="eastAsia"/>
                <w:color w:val="000000" w:themeColor="text1"/>
                <w:sz w:val="22"/>
              </w:rPr>
              <w:t>0</w:t>
            </w:r>
            <w:r w:rsidRPr="00CF6C17">
              <w:rPr>
                <w:rFonts w:ascii="Times New Roman" w:hAnsi="Times New Roman" w:cs="Times New Roman"/>
                <w:color w:val="000000" w:themeColor="text1"/>
                <w:sz w:val="22"/>
              </w:rPr>
              <w:t>.76 (0.50–1.16)</w:t>
            </w:r>
          </w:p>
        </w:tc>
        <w:tc>
          <w:tcPr>
            <w:tcW w:w="1192" w:type="dxa"/>
            <w:tcBorders>
              <w:top w:val="nil"/>
              <w:left w:val="nil"/>
              <w:bottom w:val="nil"/>
              <w:right w:val="nil"/>
            </w:tcBorders>
            <w:shd w:val="clear" w:color="auto" w:fill="auto"/>
            <w:noWrap/>
            <w:vAlign w:val="center"/>
            <w:hideMark/>
          </w:tcPr>
          <w:p w14:paraId="1A35629F"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hint="eastAsia"/>
                <w:color w:val="000000" w:themeColor="text1"/>
                <w:sz w:val="22"/>
              </w:rPr>
              <w:t>0</w:t>
            </w:r>
            <w:r w:rsidRPr="00CF6C17">
              <w:rPr>
                <w:rFonts w:ascii="Times New Roman" w:hAnsi="Times New Roman" w:cs="Times New Roman"/>
                <w:color w:val="000000" w:themeColor="text1"/>
                <w:sz w:val="22"/>
              </w:rPr>
              <w:t>.20</w:t>
            </w:r>
          </w:p>
        </w:tc>
      </w:tr>
      <w:tr w:rsidR="007B1EFF" w:rsidRPr="00CF6C17" w14:paraId="7651340D" w14:textId="77777777" w:rsidTr="00841AA7">
        <w:trPr>
          <w:trHeight w:val="392"/>
        </w:trPr>
        <w:tc>
          <w:tcPr>
            <w:tcW w:w="1911" w:type="dxa"/>
            <w:tcBorders>
              <w:top w:val="nil"/>
              <w:left w:val="nil"/>
              <w:bottom w:val="single" w:sz="4" w:space="0" w:color="auto"/>
              <w:right w:val="nil"/>
            </w:tcBorders>
            <w:shd w:val="clear" w:color="auto" w:fill="auto"/>
            <w:noWrap/>
            <w:vAlign w:val="center"/>
            <w:hideMark/>
          </w:tcPr>
          <w:p w14:paraId="7E66D5CE"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 xml:space="preserve">  </w:t>
            </w:r>
            <w:proofErr w:type="spellStart"/>
            <w:r w:rsidRPr="00CF6C17">
              <w:rPr>
                <w:rFonts w:ascii="Times New Roman" w:hAnsi="Times New Roman" w:cs="Times New Roman"/>
                <w:color w:val="000000" w:themeColor="text1"/>
                <w:sz w:val="22"/>
              </w:rPr>
              <w:t>HFpEF</w:t>
            </w:r>
            <w:proofErr w:type="spellEnd"/>
          </w:p>
        </w:tc>
        <w:tc>
          <w:tcPr>
            <w:tcW w:w="2285" w:type="dxa"/>
            <w:tcBorders>
              <w:top w:val="nil"/>
              <w:left w:val="nil"/>
              <w:bottom w:val="single" w:sz="4" w:space="0" w:color="auto"/>
              <w:right w:val="nil"/>
            </w:tcBorders>
            <w:shd w:val="clear" w:color="auto" w:fill="auto"/>
            <w:noWrap/>
            <w:vAlign w:val="center"/>
            <w:hideMark/>
          </w:tcPr>
          <w:p w14:paraId="4A252B48"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hint="eastAsia"/>
                <w:color w:val="000000" w:themeColor="text1"/>
                <w:sz w:val="22"/>
              </w:rPr>
              <w:t>1</w:t>
            </w:r>
            <w:r w:rsidRPr="00CF6C17">
              <w:rPr>
                <w:rFonts w:ascii="Times New Roman" w:hAnsi="Times New Roman" w:cs="Times New Roman"/>
                <w:color w:val="000000" w:themeColor="text1"/>
                <w:sz w:val="22"/>
              </w:rPr>
              <w:t>14 (27.9%)</w:t>
            </w:r>
          </w:p>
        </w:tc>
        <w:tc>
          <w:tcPr>
            <w:tcW w:w="2285" w:type="dxa"/>
            <w:tcBorders>
              <w:top w:val="nil"/>
              <w:left w:val="nil"/>
              <w:bottom w:val="single" w:sz="4" w:space="0" w:color="auto"/>
              <w:right w:val="nil"/>
            </w:tcBorders>
            <w:shd w:val="clear" w:color="auto" w:fill="auto"/>
            <w:noWrap/>
            <w:vAlign w:val="center"/>
            <w:hideMark/>
          </w:tcPr>
          <w:p w14:paraId="0EFA5548"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hint="eastAsia"/>
                <w:color w:val="000000" w:themeColor="text1"/>
                <w:sz w:val="22"/>
              </w:rPr>
              <w:t>1</w:t>
            </w:r>
            <w:r w:rsidRPr="00CF6C17">
              <w:rPr>
                <w:rFonts w:ascii="Times New Roman" w:hAnsi="Times New Roman" w:cs="Times New Roman"/>
                <w:color w:val="000000" w:themeColor="text1"/>
                <w:sz w:val="22"/>
              </w:rPr>
              <w:t>06 (26.7%)</w:t>
            </w:r>
          </w:p>
        </w:tc>
        <w:tc>
          <w:tcPr>
            <w:tcW w:w="2057" w:type="dxa"/>
            <w:tcBorders>
              <w:top w:val="nil"/>
              <w:left w:val="nil"/>
              <w:bottom w:val="single" w:sz="4" w:space="0" w:color="auto"/>
              <w:right w:val="nil"/>
            </w:tcBorders>
            <w:shd w:val="clear" w:color="auto" w:fill="auto"/>
            <w:noWrap/>
            <w:vAlign w:val="center"/>
            <w:hideMark/>
          </w:tcPr>
          <w:p w14:paraId="34A662C1"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hint="eastAsia"/>
                <w:color w:val="000000" w:themeColor="text1"/>
                <w:sz w:val="22"/>
              </w:rPr>
              <w:t>1</w:t>
            </w:r>
            <w:r w:rsidRPr="00CF6C17">
              <w:rPr>
                <w:rFonts w:ascii="Times New Roman" w:hAnsi="Times New Roman" w:cs="Times New Roman"/>
                <w:color w:val="000000" w:themeColor="text1"/>
                <w:sz w:val="22"/>
              </w:rPr>
              <w:t>.03 (0.81–1.30)</w:t>
            </w:r>
          </w:p>
        </w:tc>
        <w:tc>
          <w:tcPr>
            <w:tcW w:w="1192" w:type="dxa"/>
            <w:tcBorders>
              <w:top w:val="nil"/>
              <w:left w:val="nil"/>
              <w:bottom w:val="single" w:sz="4" w:space="0" w:color="auto"/>
              <w:right w:val="nil"/>
            </w:tcBorders>
            <w:shd w:val="clear" w:color="auto" w:fill="auto"/>
            <w:noWrap/>
            <w:vAlign w:val="center"/>
            <w:hideMark/>
          </w:tcPr>
          <w:p w14:paraId="6E275768"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hint="eastAsia"/>
                <w:color w:val="000000" w:themeColor="text1"/>
                <w:sz w:val="22"/>
              </w:rPr>
              <w:t>0</w:t>
            </w:r>
            <w:r w:rsidRPr="00CF6C17">
              <w:rPr>
                <w:rFonts w:ascii="Times New Roman" w:hAnsi="Times New Roman" w:cs="Times New Roman"/>
                <w:color w:val="000000" w:themeColor="text1"/>
                <w:sz w:val="22"/>
              </w:rPr>
              <w:t>.82</w:t>
            </w:r>
          </w:p>
        </w:tc>
      </w:tr>
      <w:tr w:rsidR="007B1EFF" w:rsidRPr="00CF6C17" w14:paraId="697465AB" w14:textId="77777777" w:rsidTr="00841AA7">
        <w:trPr>
          <w:trHeight w:val="392"/>
        </w:trPr>
        <w:tc>
          <w:tcPr>
            <w:tcW w:w="4196" w:type="dxa"/>
            <w:gridSpan w:val="2"/>
            <w:tcBorders>
              <w:top w:val="single" w:sz="4" w:space="0" w:color="auto"/>
              <w:left w:val="nil"/>
              <w:bottom w:val="single" w:sz="4" w:space="0" w:color="auto"/>
              <w:right w:val="nil"/>
            </w:tcBorders>
            <w:shd w:val="clear" w:color="auto" w:fill="auto"/>
            <w:noWrap/>
            <w:vAlign w:val="center"/>
          </w:tcPr>
          <w:p w14:paraId="2446DFEB"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Cardiovascular death</w:t>
            </w:r>
          </w:p>
        </w:tc>
        <w:tc>
          <w:tcPr>
            <w:tcW w:w="2285" w:type="dxa"/>
            <w:tcBorders>
              <w:top w:val="single" w:sz="4" w:space="0" w:color="auto"/>
              <w:left w:val="nil"/>
              <w:bottom w:val="single" w:sz="4" w:space="0" w:color="auto"/>
              <w:right w:val="nil"/>
            </w:tcBorders>
            <w:shd w:val="clear" w:color="auto" w:fill="auto"/>
            <w:noWrap/>
            <w:vAlign w:val="center"/>
          </w:tcPr>
          <w:p w14:paraId="4E090453" w14:textId="77777777" w:rsidR="007B1EFF" w:rsidRPr="00CF6C17" w:rsidRDefault="007B1EFF" w:rsidP="00841AA7">
            <w:pPr>
              <w:jc w:val="center"/>
              <w:rPr>
                <w:rFonts w:ascii="Times New Roman" w:hAnsi="Times New Roman" w:cs="Times New Roman"/>
                <w:color w:val="000000" w:themeColor="text1"/>
                <w:sz w:val="22"/>
              </w:rPr>
            </w:pPr>
          </w:p>
        </w:tc>
        <w:tc>
          <w:tcPr>
            <w:tcW w:w="2057" w:type="dxa"/>
            <w:tcBorders>
              <w:top w:val="single" w:sz="4" w:space="0" w:color="auto"/>
              <w:left w:val="nil"/>
              <w:bottom w:val="single" w:sz="4" w:space="0" w:color="auto"/>
              <w:right w:val="nil"/>
            </w:tcBorders>
            <w:shd w:val="clear" w:color="auto" w:fill="auto"/>
            <w:noWrap/>
            <w:vAlign w:val="center"/>
          </w:tcPr>
          <w:p w14:paraId="4AF7C8B5" w14:textId="77777777" w:rsidR="007B1EFF" w:rsidRPr="00CF6C17" w:rsidRDefault="007B1EFF" w:rsidP="00841AA7">
            <w:pPr>
              <w:jc w:val="center"/>
              <w:rPr>
                <w:rFonts w:ascii="Times New Roman" w:hAnsi="Times New Roman" w:cs="Times New Roman"/>
                <w:color w:val="000000" w:themeColor="text1"/>
                <w:sz w:val="22"/>
              </w:rPr>
            </w:pPr>
          </w:p>
        </w:tc>
        <w:tc>
          <w:tcPr>
            <w:tcW w:w="1192" w:type="dxa"/>
            <w:tcBorders>
              <w:top w:val="single" w:sz="4" w:space="0" w:color="auto"/>
              <w:left w:val="nil"/>
              <w:bottom w:val="single" w:sz="4" w:space="0" w:color="auto"/>
              <w:right w:val="nil"/>
            </w:tcBorders>
            <w:shd w:val="clear" w:color="auto" w:fill="auto"/>
            <w:noWrap/>
            <w:vAlign w:val="center"/>
          </w:tcPr>
          <w:p w14:paraId="1EDB9874" w14:textId="77777777" w:rsidR="007B1EFF" w:rsidRPr="00CF6C17" w:rsidRDefault="007B1EFF" w:rsidP="00841AA7">
            <w:pPr>
              <w:rPr>
                <w:rFonts w:ascii="Times New Roman" w:hAnsi="Times New Roman" w:cs="Times New Roman"/>
                <w:color w:val="000000" w:themeColor="text1"/>
                <w:sz w:val="22"/>
              </w:rPr>
            </w:pPr>
          </w:p>
        </w:tc>
      </w:tr>
      <w:tr w:rsidR="007B1EFF" w:rsidRPr="00CF6C17" w14:paraId="0759EE42" w14:textId="77777777" w:rsidTr="00841AA7">
        <w:trPr>
          <w:trHeight w:val="392"/>
        </w:trPr>
        <w:tc>
          <w:tcPr>
            <w:tcW w:w="1911" w:type="dxa"/>
            <w:tcBorders>
              <w:top w:val="single" w:sz="4" w:space="0" w:color="auto"/>
              <w:left w:val="nil"/>
              <w:bottom w:val="nil"/>
              <w:right w:val="nil"/>
            </w:tcBorders>
            <w:shd w:val="clear" w:color="auto" w:fill="auto"/>
            <w:noWrap/>
            <w:vAlign w:val="center"/>
          </w:tcPr>
          <w:p w14:paraId="316D2E8F"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 xml:space="preserve">  </w:t>
            </w:r>
            <w:proofErr w:type="spellStart"/>
            <w:r w:rsidRPr="00CF6C17">
              <w:rPr>
                <w:rFonts w:ascii="Times New Roman" w:hAnsi="Times New Roman" w:cs="Times New Roman"/>
                <w:color w:val="000000" w:themeColor="text1"/>
                <w:sz w:val="22"/>
              </w:rPr>
              <w:t>HFrEF</w:t>
            </w:r>
            <w:proofErr w:type="spellEnd"/>
          </w:p>
        </w:tc>
        <w:tc>
          <w:tcPr>
            <w:tcW w:w="2285" w:type="dxa"/>
            <w:tcBorders>
              <w:top w:val="single" w:sz="4" w:space="0" w:color="auto"/>
              <w:left w:val="nil"/>
              <w:bottom w:val="nil"/>
              <w:right w:val="nil"/>
            </w:tcBorders>
            <w:shd w:val="clear" w:color="auto" w:fill="auto"/>
            <w:noWrap/>
            <w:vAlign w:val="center"/>
          </w:tcPr>
          <w:p w14:paraId="449FEAD5"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35 (9.9%)</w:t>
            </w:r>
          </w:p>
        </w:tc>
        <w:tc>
          <w:tcPr>
            <w:tcW w:w="2285" w:type="dxa"/>
            <w:tcBorders>
              <w:top w:val="single" w:sz="4" w:space="0" w:color="auto"/>
              <w:left w:val="nil"/>
              <w:bottom w:val="nil"/>
              <w:right w:val="nil"/>
            </w:tcBorders>
            <w:shd w:val="clear" w:color="auto" w:fill="auto"/>
            <w:noWrap/>
            <w:vAlign w:val="center"/>
          </w:tcPr>
          <w:p w14:paraId="4600C0C6"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49 (14.1%)</w:t>
            </w:r>
          </w:p>
        </w:tc>
        <w:tc>
          <w:tcPr>
            <w:tcW w:w="2057" w:type="dxa"/>
            <w:tcBorders>
              <w:top w:val="single" w:sz="4" w:space="0" w:color="auto"/>
              <w:left w:val="nil"/>
              <w:bottom w:val="nil"/>
              <w:right w:val="nil"/>
            </w:tcBorders>
            <w:shd w:val="clear" w:color="auto" w:fill="auto"/>
            <w:noWrap/>
            <w:vAlign w:val="center"/>
          </w:tcPr>
          <w:p w14:paraId="25F04C24"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0.73 (0.50–1.05)</w:t>
            </w:r>
          </w:p>
        </w:tc>
        <w:tc>
          <w:tcPr>
            <w:tcW w:w="1192" w:type="dxa"/>
            <w:tcBorders>
              <w:top w:val="single" w:sz="4" w:space="0" w:color="auto"/>
              <w:left w:val="nil"/>
              <w:bottom w:val="nil"/>
              <w:right w:val="nil"/>
            </w:tcBorders>
            <w:shd w:val="clear" w:color="auto" w:fill="auto"/>
            <w:noWrap/>
            <w:vAlign w:val="center"/>
          </w:tcPr>
          <w:p w14:paraId="0EA5BD40"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0.09</w:t>
            </w:r>
          </w:p>
        </w:tc>
      </w:tr>
      <w:tr w:rsidR="007B1EFF" w:rsidRPr="00CF6C17" w14:paraId="385FE9E0" w14:textId="77777777" w:rsidTr="00841AA7">
        <w:trPr>
          <w:trHeight w:val="392"/>
        </w:trPr>
        <w:tc>
          <w:tcPr>
            <w:tcW w:w="1911" w:type="dxa"/>
            <w:tcBorders>
              <w:top w:val="nil"/>
              <w:left w:val="nil"/>
              <w:bottom w:val="nil"/>
              <w:right w:val="nil"/>
            </w:tcBorders>
            <w:shd w:val="clear" w:color="auto" w:fill="auto"/>
            <w:noWrap/>
            <w:vAlign w:val="center"/>
          </w:tcPr>
          <w:p w14:paraId="201621AF"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 xml:space="preserve">  </w:t>
            </w:r>
            <w:proofErr w:type="spellStart"/>
            <w:r w:rsidRPr="00CF6C17">
              <w:rPr>
                <w:rFonts w:ascii="Times New Roman" w:hAnsi="Times New Roman" w:cs="Times New Roman"/>
                <w:color w:val="000000" w:themeColor="text1"/>
                <w:sz w:val="22"/>
              </w:rPr>
              <w:t>HFmrEF</w:t>
            </w:r>
            <w:proofErr w:type="spellEnd"/>
          </w:p>
        </w:tc>
        <w:tc>
          <w:tcPr>
            <w:tcW w:w="2285" w:type="dxa"/>
            <w:tcBorders>
              <w:top w:val="nil"/>
              <w:left w:val="nil"/>
              <w:bottom w:val="nil"/>
              <w:right w:val="nil"/>
            </w:tcBorders>
            <w:shd w:val="clear" w:color="auto" w:fill="auto"/>
            <w:noWrap/>
            <w:vAlign w:val="center"/>
          </w:tcPr>
          <w:p w14:paraId="0C1709E6"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12 (8.4%)</w:t>
            </w:r>
          </w:p>
        </w:tc>
        <w:tc>
          <w:tcPr>
            <w:tcW w:w="2285" w:type="dxa"/>
            <w:tcBorders>
              <w:top w:val="nil"/>
              <w:left w:val="nil"/>
              <w:bottom w:val="nil"/>
              <w:right w:val="nil"/>
            </w:tcBorders>
            <w:shd w:val="clear" w:color="auto" w:fill="auto"/>
            <w:noWrap/>
            <w:vAlign w:val="center"/>
          </w:tcPr>
          <w:p w14:paraId="6AE36F6E"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23 (15.7%)</w:t>
            </w:r>
          </w:p>
        </w:tc>
        <w:tc>
          <w:tcPr>
            <w:tcW w:w="2057" w:type="dxa"/>
            <w:tcBorders>
              <w:top w:val="nil"/>
              <w:left w:val="nil"/>
              <w:bottom w:val="nil"/>
              <w:right w:val="nil"/>
            </w:tcBorders>
            <w:shd w:val="clear" w:color="auto" w:fill="auto"/>
            <w:noWrap/>
            <w:vAlign w:val="center"/>
          </w:tcPr>
          <w:p w14:paraId="3236B59D"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0.58 (0.31–1.08)</w:t>
            </w:r>
          </w:p>
        </w:tc>
        <w:tc>
          <w:tcPr>
            <w:tcW w:w="1192" w:type="dxa"/>
            <w:tcBorders>
              <w:top w:val="nil"/>
              <w:left w:val="nil"/>
              <w:bottom w:val="nil"/>
              <w:right w:val="nil"/>
            </w:tcBorders>
            <w:shd w:val="clear" w:color="auto" w:fill="auto"/>
            <w:noWrap/>
            <w:vAlign w:val="center"/>
          </w:tcPr>
          <w:p w14:paraId="77E21C2D"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0.09</w:t>
            </w:r>
          </w:p>
        </w:tc>
      </w:tr>
      <w:tr w:rsidR="007B1EFF" w:rsidRPr="00CF6C17" w14:paraId="10164471" w14:textId="77777777" w:rsidTr="00841AA7">
        <w:trPr>
          <w:trHeight w:val="392"/>
        </w:trPr>
        <w:tc>
          <w:tcPr>
            <w:tcW w:w="1911" w:type="dxa"/>
            <w:tcBorders>
              <w:top w:val="nil"/>
              <w:left w:val="nil"/>
              <w:bottom w:val="single" w:sz="4" w:space="0" w:color="auto"/>
              <w:right w:val="nil"/>
            </w:tcBorders>
            <w:shd w:val="clear" w:color="auto" w:fill="auto"/>
            <w:noWrap/>
            <w:vAlign w:val="center"/>
          </w:tcPr>
          <w:p w14:paraId="529C1635"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 xml:space="preserve">  </w:t>
            </w:r>
            <w:proofErr w:type="spellStart"/>
            <w:r w:rsidRPr="00CF6C17">
              <w:rPr>
                <w:rFonts w:ascii="Times New Roman" w:hAnsi="Times New Roman" w:cs="Times New Roman"/>
                <w:color w:val="000000" w:themeColor="text1"/>
                <w:sz w:val="22"/>
              </w:rPr>
              <w:t>HFpEF</w:t>
            </w:r>
            <w:proofErr w:type="spellEnd"/>
          </w:p>
        </w:tc>
        <w:tc>
          <w:tcPr>
            <w:tcW w:w="2285" w:type="dxa"/>
            <w:tcBorders>
              <w:top w:val="nil"/>
              <w:left w:val="nil"/>
              <w:bottom w:val="single" w:sz="4" w:space="0" w:color="auto"/>
              <w:right w:val="nil"/>
            </w:tcBorders>
            <w:shd w:val="clear" w:color="auto" w:fill="auto"/>
            <w:noWrap/>
            <w:vAlign w:val="center"/>
          </w:tcPr>
          <w:p w14:paraId="490CD54E"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37 (9.2%)</w:t>
            </w:r>
          </w:p>
        </w:tc>
        <w:tc>
          <w:tcPr>
            <w:tcW w:w="2285" w:type="dxa"/>
            <w:tcBorders>
              <w:top w:val="nil"/>
              <w:left w:val="nil"/>
              <w:bottom w:val="single" w:sz="4" w:space="0" w:color="auto"/>
              <w:right w:val="nil"/>
            </w:tcBorders>
            <w:shd w:val="clear" w:color="auto" w:fill="auto"/>
            <w:noWrap/>
            <w:vAlign w:val="center"/>
          </w:tcPr>
          <w:p w14:paraId="0C5FFA50"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46 (11.5%)</w:t>
            </w:r>
          </w:p>
        </w:tc>
        <w:tc>
          <w:tcPr>
            <w:tcW w:w="2057" w:type="dxa"/>
            <w:tcBorders>
              <w:top w:val="nil"/>
              <w:left w:val="nil"/>
              <w:bottom w:val="single" w:sz="4" w:space="0" w:color="auto"/>
              <w:right w:val="nil"/>
            </w:tcBorders>
            <w:shd w:val="clear" w:color="auto" w:fill="auto"/>
            <w:noWrap/>
            <w:vAlign w:val="center"/>
          </w:tcPr>
          <w:p w14:paraId="591294E5" w14:textId="77777777" w:rsidR="007B1EFF" w:rsidRPr="00CF6C17" w:rsidRDefault="007B1EFF" w:rsidP="00841AA7">
            <w:pPr>
              <w:jc w:val="cente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0.71 (0.48–1.04)</w:t>
            </w:r>
          </w:p>
        </w:tc>
        <w:tc>
          <w:tcPr>
            <w:tcW w:w="1192" w:type="dxa"/>
            <w:tcBorders>
              <w:top w:val="nil"/>
              <w:left w:val="nil"/>
              <w:bottom w:val="single" w:sz="4" w:space="0" w:color="auto"/>
              <w:right w:val="nil"/>
            </w:tcBorders>
            <w:shd w:val="clear" w:color="auto" w:fill="auto"/>
            <w:noWrap/>
            <w:vAlign w:val="center"/>
          </w:tcPr>
          <w:p w14:paraId="38E6FA1F" w14:textId="77777777" w:rsidR="007B1EFF" w:rsidRPr="00CF6C17" w:rsidRDefault="007B1EFF" w:rsidP="00841AA7">
            <w:pPr>
              <w:rPr>
                <w:rFonts w:ascii="Times New Roman" w:hAnsi="Times New Roman" w:cs="Times New Roman"/>
                <w:color w:val="000000" w:themeColor="text1"/>
                <w:sz w:val="22"/>
              </w:rPr>
            </w:pPr>
            <w:r w:rsidRPr="00CF6C17">
              <w:rPr>
                <w:rFonts w:ascii="Times New Roman" w:hAnsi="Times New Roman" w:cs="Times New Roman"/>
                <w:color w:val="000000" w:themeColor="text1"/>
                <w:sz w:val="22"/>
              </w:rPr>
              <w:t>0.08</w:t>
            </w:r>
          </w:p>
        </w:tc>
      </w:tr>
    </w:tbl>
    <w:p w14:paraId="414C59F9" w14:textId="77777777" w:rsidR="007B1EFF" w:rsidRPr="00CF6C17" w:rsidRDefault="007B1EFF" w:rsidP="007B1EFF">
      <w:pPr>
        <w:spacing w:line="360" w:lineRule="auto"/>
        <w:rPr>
          <w:rFonts w:ascii="Times New Roman" w:hAnsi="Times New Roman" w:cs="Times New Roman"/>
          <w:color w:val="000000" w:themeColor="text1"/>
          <w:sz w:val="22"/>
        </w:rPr>
      </w:pPr>
      <w:r w:rsidRPr="00CF6C17">
        <w:rPr>
          <w:rFonts w:ascii="Times New Roman" w:hAnsi="Times New Roman" w:cs="Times New Roman" w:hint="eastAsia"/>
          <w:color w:val="000000" w:themeColor="text1"/>
          <w:sz w:val="22"/>
        </w:rPr>
        <w:t>*</w:t>
      </w:r>
      <w:r w:rsidRPr="00CF6C17">
        <w:rPr>
          <w:rFonts w:ascii="Times New Roman" w:hAnsi="Times New Roman" w:cs="Times New Roman"/>
          <w:color w:val="000000" w:themeColor="text1"/>
          <w:sz w:val="22"/>
        </w:rPr>
        <w:t xml:space="preserve">Presented as the number of patients with each clinical event (cumulative 1-year incidence estimated by the Kaplan-Meier method). Hazard ratios represent the risks of the use of ACE-I/ARB relative to the nonuse for the clinical outcomes. </w:t>
      </w:r>
    </w:p>
    <w:p w14:paraId="085C30DB" w14:textId="292484C4" w:rsidR="007B1EFF" w:rsidRDefault="007B1EFF" w:rsidP="007B1EFF">
      <w:r w:rsidRPr="00CF6C17">
        <w:rPr>
          <w:rFonts w:ascii="Times New Roman" w:hAnsi="Times New Roman" w:cs="Times New Roman"/>
          <w:color w:val="000000" w:themeColor="text1"/>
          <w:sz w:val="22"/>
        </w:rPr>
        <w:t xml:space="preserve">ACE-I, angiotensin-converting enzyme inhibitors; ARB, angiotensin receptor blockers; HF, heart failure; </w:t>
      </w:r>
      <w:proofErr w:type="spellStart"/>
      <w:r w:rsidRPr="00CF6C17">
        <w:rPr>
          <w:rFonts w:ascii="Times New Roman" w:hAnsi="Times New Roman" w:cs="Times New Roman"/>
          <w:color w:val="000000" w:themeColor="text1"/>
          <w:sz w:val="22"/>
        </w:rPr>
        <w:t>HFmrEF</w:t>
      </w:r>
      <w:proofErr w:type="spellEnd"/>
      <w:r w:rsidRPr="00CF6C17">
        <w:rPr>
          <w:rFonts w:ascii="Times New Roman" w:hAnsi="Times New Roman" w:cs="Times New Roman"/>
          <w:color w:val="000000" w:themeColor="text1"/>
          <w:sz w:val="22"/>
        </w:rPr>
        <w:t xml:space="preserve">, heart failure with mid-range ejection fraction; </w:t>
      </w:r>
      <w:proofErr w:type="spellStart"/>
      <w:r w:rsidRPr="00CF6C17">
        <w:rPr>
          <w:rFonts w:ascii="Times New Roman" w:hAnsi="Times New Roman" w:cs="Times New Roman"/>
          <w:color w:val="000000" w:themeColor="text1"/>
          <w:sz w:val="22"/>
        </w:rPr>
        <w:t>HFpEF</w:t>
      </w:r>
      <w:proofErr w:type="spellEnd"/>
      <w:r w:rsidRPr="00CF6C17">
        <w:rPr>
          <w:rFonts w:ascii="Times New Roman" w:hAnsi="Times New Roman" w:cs="Times New Roman"/>
          <w:color w:val="000000" w:themeColor="text1"/>
          <w:sz w:val="22"/>
        </w:rPr>
        <w:t xml:space="preserve">, heart failure with preserved ejection fraction; </w:t>
      </w:r>
      <w:proofErr w:type="spellStart"/>
      <w:r w:rsidRPr="00CF6C17">
        <w:rPr>
          <w:rFonts w:ascii="Times New Roman" w:hAnsi="Times New Roman" w:cs="Times New Roman"/>
          <w:color w:val="000000" w:themeColor="text1"/>
          <w:sz w:val="22"/>
        </w:rPr>
        <w:t>HFrEF</w:t>
      </w:r>
      <w:proofErr w:type="spellEnd"/>
      <w:r w:rsidRPr="00CF6C17">
        <w:rPr>
          <w:rFonts w:ascii="Times New Roman" w:hAnsi="Times New Roman" w:cs="Times New Roman"/>
          <w:color w:val="000000" w:themeColor="text1"/>
          <w:sz w:val="22"/>
        </w:rPr>
        <w:t>, heart failure with reduced ejection fraction; HR, hazard ratio.</w:t>
      </w:r>
    </w:p>
    <w:sectPr w:rsidR="007B1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FF"/>
    <w:rsid w:val="007B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11B55"/>
  <w15:chartTrackingRefBased/>
  <w15:docId w15:val="{F9F88015-89BE-4D99-8E2D-8F15776A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EFF"/>
    <w:pPr>
      <w:spacing w:after="0" w:line="240" w:lineRule="auto"/>
    </w:pPr>
    <w:rPr>
      <w:rFonts w:ascii="MS PGothic" w:eastAsia="MS PGothic" w:hAnsi="MS PGothic" w:cs="MS PGothic"/>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SATHISH</dc:creator>
  <cp:keywords/>
  <dc:description/>
  <cp:lastModifiedBy>SATHISH</cp:lastModifiedBy>
  <cp:revision>1</cp:revision>
  <dcterms:created xsi:type="dcterms:W3CDTF">2020-09-05T03:39:00Z</dcterms:created>
  <dcterms:modified xsi:type="dcterms:W3CDTF">2020-09-05T03:39:00Z</dcterms:modified>
</cp:coreProperties>
</file>