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3" w:rsidRPr="00604393" w:rsidRDefault="00604393" w:rsidP="0060439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04393">
        <w:rPr>
          <w:rFonts w:asciiTheme="minorHAnsi" w:hAnsiTheme="minorHAnsi" w:cstheme="minorHAnsi"/>
          <w:b/>
          <w:bCs/>
          <w:sz w:val="22"/>
          <w:szCs w:val="22"/>
          <w:lang w:val="en-US"/>
        </w:rPr>
        <w:t>METHODS S1</w:t>
      </w:r>
    </w:p>
    <w:p w:rsidR="0066579C" w:rsidRPr="0066579C" w:rsidRDefault="0066579C" w:rsidP="0066579C">
      <w:pPr>
        <w:spacing w:line="360" w:lineRule="auto"/>
        <w:rPr>
          <w:rFonts w:cstheme="minorHAnsi"/>
        </w:rPr>
      </w:pPr>
      <w:bookmarkStart w:id="0" w:name="_GoBack"/>
      <w:bookmarkEnd w:id="0"/>
      <w:proofErr w:type="spellStart"/>
      <w:r w:rsidRPr="0066579C">
        <w:rPr>
          <w:rFonts w:cstheme="minorHAnsi"/>
          <w:b/>
          <w:i/>
        </w:rPr>
        <w:t>Ethics</w:t>
      </w:r>
      <w:proofErr w:type="spellEnd"/>
      <w:r w:rsidRPr="0066579C">
        <w:rPr>
          <w:rFonts w:cstheme="minorHAnsi"/>
          <w:b/>
          <w:i/>
        </w:rPr>
        <w:t xml:space="preserve"> </w:t>
      </w:r>
      <w:proofErr w:type="spellStart"/>
      <w:r w:rsidRPr="0066579C">
        <w:rPr>
          <w:rFonts w:cstheme="minorHAnsi"/>
          <w:b/>
          <w:i/>
        </w:rPr>
        <w:t>Statements</w:t>
      </w:r>
      <w:proofErr w:type="spellEnd"/>
    </w:p>
    <w:p w:rsidR="0066579C" w:rsidRPr="0066579C" w:rsidRDefault="0066579C" w:rsidP="0066579C">
      <w:pPr>
        <w:spacing w:line="360" w:lineRule="auto"/>
        <w:rPr>
          <w:rFonts w:cstheme="minorHAnsi"/>
          <w:lang w:val="en-US"/>
        </w:rPr>
      </w:pP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approved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CEIs</w:t>
      </w:r>
      <w:proofErr w:type="spellEnd"/>
      <w:r>
        <w:rPr>
          <w:rFonts w:eastAsia="Times New Roman"/>
        </w:rPr>
        <w:t xml:space="preserve"> (Comités de Ética en Investigación)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participating</w:t>
      </w:r>
      <w:proofErr w:type="spellEnd"/>
      <w:r>
        <w:rPr>
          <w:rFonts w:eastAsia="Times New Roman"/>
        </w:rPr>
        <w:t xml:space="preserve"> centers:</w:t>
      </w:r>
      <w:r>
        <w:rPr>
          <w:rFonts w:eastAsia="Times New Roman"/>
        </w:rPr>
        <w:br/>
        <w:t>Comité de Ética de la Investigación del Hospital Universitario Virgen del Rocío</w:t>
      </w:r>
      <w:r>
        <w:rPr>
          <w:rFonts w:eastAsia="Times New Roman"/>
        </w:rPr>
        <w:br/>
        <w:t>Comité Ético de Investigación Clínica del Hospital Universitario Fundación Alcorcón</w:t>
      </w:r>
      <w:r>
        <w:rPr>
          <w:rFonts w:eastAsia="Times New Roman"/>
        </w:rPr>
        <w:br/>
        <w:t>Comité de Ética de la Investigación del Hospital Universitario Ramón y Cajal</w:t>
      </w:r>
      <w:r>
        <w:rPr>
          <w:rFonts w:eastAsia="Times New Roman"/>
        </w:rPr>
        <w:br/>
        <w:t>Comité Ético de Investigación Clínica del Hospital Clínico San Carlos</w:t>
      </w:r>
      <w:r>
        <w:rPr>
          <w:rFonts w:eastAsia="Times New Roman"/>
        </w:rPr>
        <w:br/>
        <w:t>Comité de Ética de la Investigación Clínica de la Fundación Jiménez Díaz</w:t>
      </w:r>
      <w:r>
        <w:rPr>
          <w:rFonts w:eastAsia="Times New Roman"/>
        </w:rPr>
        <w:br/>
        <w:t>Comité Ético de Investigación Clínica del Hospital Universitario 12 de Octubre</w:t>
      </w:r>
      <w:r>
        <w:rPr>
          <w:rFonts w:eastAsia="Times New Roman"/>
        </w:rPr>
        <w:br/>
        <w:t>Comité Ético de Investigación Clínica del Hospital Universitario de la Princesa</w:t>
      </w:r>
      <w:r>
        <w:rPr>
          <w:rFonts w:eastAsia="Times New Roman"/>
        </w:rPr>
        <w:br/>
        <w:t>Comité de Ética de la Investigación del Hospital Universitario Príncipe de Asturias</w:t>
      </w:r>
      <w:r>
        <w:rPr>
          <w:rFonts w:eastAsia="Times New Roman"/>
        </w:rPr>
        <w:br/>
        <w:t xml:space="preserve">In </w:t>
      </w:r>
      <w:proofErr w:type="spellStart"/>
      <w:r>
        <w:rPr>
          <w:rFonts w:eastAsia="Times New Roman"/>
        </w:rPr>
        <w:t>addition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conducted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according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principles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expressed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Helsinki </w:t>
      </w:r>
      <w:proofErr w:type="spellStart"/>
      <w:r>
        <w:rPr>
          <w:rFonts w:eastAsia="Times New Roman"/>
        </w:rPr>
        <w:t>Declaration</w:t>
      </w:r>
      <w:proofErr w:type="spellEnd"/>
      <w:r>
        <w:rPr>
          <w:rFonts w:eastAsia="Times New Roman"/>
        </w:rPr>
        <w:t xml:space="preserve">. </w:t>
      </w:r>
      <w:r w:rsidRPr="0066579C">
        <w:rPr>
          <w:rFonts w:eastAsia="Times New Roman"/>
          <w:lang w:val="en-US"/>
        </w:rPr>
        <w:t>Each individual who participated in the study signed a written</w:t>
      </w:r>
      <w:r>
        <w:rPr>
          <w:rFonts w:eastAsia="Times New Roman"/>
          <w:lang w:val="en-US"/>
        </w:rPr>
        <w:t xml:space="preserve"> </w:t>
      </w:r>
      <w:r w:rsidRPr="0066579C">
        <w:rPr>
          <w:rFonts w:eastAsia="Times New Roman"/>
          <w:lang w:val="en-US"/>
        </w:rPr>
        <w:t>informed consent form prior to blood withdrawal</w:t>
      </w:r>
    </w:p>
    <w:p w:rsidR="0066579C" w:rsidRDefault="0066579C" w:rsidP="0060439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563226" w:rsidRPr="00604393" w:rsidRDefault="00563226" w:rsidP="0060439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439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Prediction of the significance of variants </w:t>
      </w:r>
    </w:p>
    <w:p w:rsidR="00563226" w:rsidRPr="00604393" w:rsidRDefault="00563226" w:rsidP="0060439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For the prediction of the significance of variants we followed the combination of several criteria: </w:t>
      </w:r>
    </w:p>
    <w:p w:rsidR="00563226" w:rsidRPr="00604393" w:rsidRDefault="00563226" w:rsidP="0060439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1) Type of the variation: whether variation results in a null variant: that is nonsense,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frameshift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 or affecting to canonical splice sites that result in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frameshift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 of the coding sequence, mutations affecting the initiation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codon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, and those leading to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exon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(s) deletion. </w:t>
      </w:r>
    </w:p>
    <w:p w:rsidR="00563226" w:rsidRPr="00604393" w:rsidRDefault="00563226" w:rsidP="0060439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4393">
        <w:rPr>
          <w:rFonts w:asciiTheme="minorHAnsi" w:hAnsiTheme="minorHAnsi" w:cstheme="minorHAnsi"/>
          <w:sz w:val="22"/>
          <w:szCs w:val="22"/>
          <w:lang w:val="en-US"/>
        </w:rPr>
        <w:t>2) In-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silico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 prediction: We used multiple bioinformatics tools and the impact was interpreted with respect to all known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isoforms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 of each gene. For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missense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 variants, a total of thirteen tools were examined. Therefore, we used 6 functional prediction scores (SIFT, Polyphen-2,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MutationTaster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MutationAssesor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, LRT, and FATHMM), 4 conservation scores (GERP++,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PhyloP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PhastCons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, and Grantham Score), and three ensemble-based prediction scores (CADD, LR, and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RadialSVM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). A threshold was set for each tool above in which the variant was classified as damaging (Table </w:t>
      </w:r>
      <w:r w:rsidR="008070DA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1). In addition, all variants were analyzed using GWAVA, CADD, and the splicing predictions from the Batch version of the annotation software package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Alamut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 (Interactive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Biosoftware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, Rouen, France), that integrates 5 sources: Splice Site Finder,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MaxEntScan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NNSplice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GeneSplicer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 and Human Splicing Finder (Table </w:t>
      </w:r>
      <w:r w:rsidR="008070DA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1). We also considered the dbscsnv11 database for predicting the splicing impact by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Ada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 Boost and Random Forest </w:t>
      </w:r>
      <w:r w:rsidRPr="00604393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(Table </w:t>
      </w:r>
      <w:r w:rsidR="008070DA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1). Moreover, non-coding variants were prioritized when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ReMM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-score &gt;0.8 and IW-score with an associated </w:t>
      </w:r>
      <w:r w:rsidRPr="00604393">
        <w:rPr>
          <w:rFonts w:asciiTheme="minorHAnsi" w:hAnsiTheme="minorHAnsi" w:cstheme="minorHAnsi"/>
          <w:i/>
          <w:iCs/>
          <w:sz w:val="22"/>
          <w:szCs w:val="22"/>
          <w:lang w:val="en-US"/>
        </w:rPr>
        <w:t>P</w:t>
      </w:r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-value&lt;0.05. </w:t>
      </w:r>
    </w:p>
    <w:p w:rsidR="00563226" w:rsidRPr="00604393" w:rsidRDefault="00563226" w:rsidP="0060439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3) Score from </w:t>
      </w:r>
      <w:proofErr w:type="spellStart"/>
      <w:r w:rsidRPr="00604393">
        <w:rPr>
          <w:rFonts w:asciiTheme="minorHAnsi" w:hAnsiTheme="minorHAnsi" w:cstheme="minorHAnsi"/>
          <w:sz w:val="22"/>
          <w:szCs w:val="22"/>
          <w:lang w:val="en-US"/>
        </w:rPr>
        <w:t>Regulome</w:t>
      </w:r>
      <w:proofErr w:type="spellEnd"/>
      <w:r w:rsidRPr="00604393">
        <w:rPr>
          <w:rFonts w:asciiTheme="minorHAnsi" w:hAnsiTheme="minorHAnsi" w:cstheme="minorHAnsi"/>
          <w:sz w:val="22"/>
          <w:szCs w:val="22"/>
          <w:lang w:val="en-US"/>
        </w:rPr>
        <w:t xml:space="preserve">-DB of 1. </w:t>
      </w:r>
    </w:p>
    <w:p w:rsidR="00563226" w:rsidRDefault="00563226" w:rsidP="00604393">
      <w:pPr>
        <w:spacing w:line="360" w:lineRule="auto"/>
        <w:rPr>
          <w:rFonts w:cstheme="minorHAnsi"/>
          <w:lang w:val="en-US"/>
        </w:rPr>
      </w:pPr>
      <w:r w:rsidRPr="00604393">
        <w:rPr>
          <w:rFonts w:cstheme="minorHAnsi"/>
          <w:lang w:val="en-US"/>
        </w:rPr>
        <w:t>4) Co-occurrence with pathogenic variants.</w:t>
      </w:r>
    </w:p>
    <w:sectPr w:rsidR="00563226" w:rsidSect="00FE5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226"/>
    <w:rsid w:val="000D2584"/>
    <w:rsid w:val="00563226"/>
    <w:rsid w:val="00604393"/>
    <w:rsid w:val="00610252"/>
    <w:rsid w:val="0066579C"/>
    <w:rsid w:val="008070DA"/>
    <w:rsid w:val="008F6005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63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Piluca_user</dc:creator>
  <cp:lastModifiedBy>Piluca_user</cp:lastModifiedBy>
  <cp:revision>2</cp:revision>
  <dcterms:created xsi:type="dcterms:W3CDTF">2020-08-07T10:23:00Z</dcterms:created>
  <dcterms:modified xsi:type="dcterms:W3CDTF">2020-08-07T10:23:00Z</dcterms:modified>
</cp:coreProperties>
</file>