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C694" w14:textId="77777777" w:rsidR="00212B40" w:rsidRPr="004C5268" w:rsidRDefault="004C5268" w:rsidP="00300CDF">
      <w:pPr>
        <w:rPr>
          <w:rFonts w:cs="Helvetica Neue"/>
          <w:b/>
          <w:sz w:val="24"/>
          <w:szCs w:val="24"/>
          <w:u w:val="single"/>
          <w:lang w:val="en-US"/>
        </w:rPr>
      </w:pPr>
      <w:r w:rsidRPr="004C5268">
        <w:rPr>
          <w:rFonts w:cs="Helvetica Neue"/>
          <w:b/>
          <w:sz w:val="24"/>
          <w:szCs w:val="24"/>
          <w:lang w:val="en-US"/>
        </w:rPr>
        <w:t>Appendix A: Questionnaire to elicit individual experts’ prior opinions</w:t>
      </w:r>
    </w:p>
    <w:p w14:paraId="33340A36" w14:textId="77777777" w:rsidR="006A394A" w:rsidRPr="00884D35" w:rsidRDefault="006A394A" w:rsidP="00300CDF">
      <w:r w:rsidRPr="00884D35">
        <w:rPr>
          <w:b/>
        </w:rPr>
        <w:t>Introduct</w:t>
      </w:r>
      <w:r w:rsidR="00D06461" w:rsidRPr="00884D35">
        <w:rPr>
          <w:b/>
        </w:rPr>
        <w:t>ion:</w:t>
      </w:r>
      <w:r w:rsidR="00D06461" w:rsidRPr="00884D35">
        <w:t xml:space="preserve"> </w:t>
      </w:r>
      <w:r w:rsidRPr="00884D35">
        <w:t>The questions below assume that a patient’s pain will be measured on a 100mm visual analogue scale (VAS). Higher scores indicate greater pain, such that:</w:t>
      </w:r>
    </w:p>
    <w:p w14:paraId="6E78896A" w14:textId="77777777" w:rsidR="006A394A" w:rsidRPr="00884D35" w:rsidRDefault="006A394A" w:rsidP="005757A0">
      <w:pPr>
        <w:pStyle w:val="ListParagraph"/>
        <w:numPr>
          <w:ilvl w:val="0"/>
          <w:numId w:val="1"/>
        </w:numPr>
        <w:jc w:val="both"/>
      </w:pPr>
      <w:proofErr w:type="gramStart"/>
      <w:r w:rsidRPr="00884D35">
        <w:t>a</w:t>
      </w:r>
      <w:proofErr w:type="gramEnd"/>
      <w:r w:rsidRPr="00884D35">
        <w:t xml:space="preserve"> score of 0 indicates the complete absence of pain;</w:t>
      </w:r>
    </w:p>
    <w:p w14:paraId="213C9282" w14:textId="77777777" w:rsidR="00212B40" w:rsidRDefault="006A394A" w:rsidP="00212B40">
      <w:pPr>
        <w:pStyle w:val="ListParagraph"/>
        <w:numPr>
          <w:ilvl w:val="0"/>
          <w:numId w:val="1"/>
        </w:numPr>
        <w:ind w:left="714" w:hanging="357"/>
        <w:contextualSpacing w:val="0"/>
        <w:jc w:val="both"/>
      </w:pPr>
      <w:proofErr w:type="gramStart"/>
      <w:r w:rsidRPr="00884D35">
        <w:t>a</w:t>
      </w:r>
      <w:proofErr w:type="gramEnd"/>
      <w:r w:rsidRPr="00884D35">
        <w:t xml:space="preserve"> score of 100 indicates unbearable pain.</w:t>
      </w:r>
    </w:p>
    <w:p w14:paraId="2BCD4764" w14:textId="77777777" w:rsidR="00884D35" w:rsidRPr="00884D35" w:rsidRDefault="00884D35" w:rsidP="00884D35">
      <w:pPr>
        <w:pStyle w:val="ListParagraph"/>
        <w:ind w:left="714"/>
        <w:contextualSpacing w:val="0"/>
        <w:jc w:val="both"/>
      </w:pPr>
    </w:p>
    <w:p w14:paraId="7D3889B6" w14:textId="77777777" w:rsidR="005757A0" w:rsidRPr="005757A0" w:rsidRDefault="00C253E3" w:rsidP="005757A0">
      <w:pPr>
        <w:jc w:val="both"/>
        <w:rPr>
          <w:b/>
          <w:u w:val="single"/>
        </w:rPr>
      </w:pPr>
      <w:r>
        <w:rPr>
          <w:b/>
          <w:u w:val="single"/>
        </w:rPr>
        <w:t>Eliciting your opinion on</w:t>
      </w:r>
      <w:r w:rsidR="005757A0" w:rsidRPr="005757A0">
        <w:rPr>
          <w:b/>
          <w:u w:val="single"/>
        </w:rPr>
        <w:t xml:space="preserve"> the effect of </w:t>
      </w:r>
      <w:proofErr w:type="spellStart"/>
      <w:r w:rsidR="005757A0" w:rsidRPr="005757A0">
        <w:rPr>
          <w:b/>
          <w:u w:val="single"/>
        </w:rPr>
        <w:t>pamidronate</w:t>
      </w:r>
      <w:proofErr w:type="spellEnd"/>
    </w:p>
    <w:p w14:paraId="7D0808C5" w14:textId="77777777" w:rsidR="00DC3950" w:rsidRDefault="006A394A" w:rsidP="005757A0">
      <w:pPr>
        <w:jc w:val="both"/>
      </w:pPr>
      <w:r>
        <w:t xml:space="preserve">Suppose you are asked to treat an individual patient. Let’s suppose that this patient is typical of the patients you see in your clinical practice and </w:t>
      </w:r>
      <w:r w:rsidRPr="006A394A">
        <w:rPr>
          <w:b/>
        </w:rPr>
        <w:t>presents at baseline with a pain score of 60mm on the VAS</w:t>
      </w:r>
      <w:r>
        <w:t xml:space="preserve">. The following questions ask for your opinion on what this patient’s pain score would be after </w:t>
      </w:r>
      <w:r w:rsidR="00920E72" w:rsidRPr="00943344">
        <w:rPr>
          <w:color w:val="FF0000"/>
          <w:u w:val="single"/>
        </w:rPr>
        <w:t>26 weeks of treatment with</w:t>
      </w:r>
      <w:r w:rsidRPr="00943344">
        <w:rPr>
          <w:color w:val="FF0000"/>
          <w:u w:val="single"/>
        </w:rPr>
        <w:t xml:space="preserve"> </w:t>
      </w:r>
      <w:proofErr w:type="spellStart"/>
      <w:r w:rsidRPr="00943344">
        <w:rPr>
          <w:color w:val="FF0000"/>
          <w:u w:val="single"/>
        </w:rPr>
        <w:t>pamidronate</w:t>
      </w:r>
      <w:proofErr w:type="spellEnd"/>
      <w:r>
        <w:t xml:space="preserve">. </w:t>
      </w:r>
    </w:p>
    <w:p w14:paraId="38455EEF" w14:textId="77777777" w:rsidR="00DC3950" w:rsidRDefault="00DC3950" w:rsidP="00300CDF">
      <w:pPr>
        <w:spacing w:after="0"/>
        <w:jc w:val="both"/>
      </w:pPr>
    </w:p>
    <w:p w14:paraId="5857C9EB" w14:textId="77777777" w:rsidR="00D06461" w:rsidRDefault="00884D35" w:rsidP="0002184B">
      <w:pPr>
        <w:pStyle w:val="ListParagraph"/>
        <w:numPr>
          <w:ilvl w:val="0"/>
          <w:numId w:val="3"/>
        </w:numPr>
        <w:spacing w:after="360"/>
        <w:ind w:left="357" w:hanging="357"/>
        <w:jc w:val="both"/>
      </w:pPr>
      <w:r>
        <w:t>Provide</w:t>
      </w:r>
      <w:r w:rsidR="00BF3A1C">
        <w:t xml:space="preserve"> a value (between 0 and 100%</w:t>
      </w:r>
      <w:proofErr w:type="gramStart"/>
      <w:r w:rsidR="00BF3A1C">
        <w:t>) which you think</w:t>
      </w:r>
      <w:proofErr w:type="gramEnd"/>
      <w:r w:rsidR="00BF3A1C">
        <w:t xml:space="preserve"> is the </w:t>
      </w:r>
      <w:r w:rsidR="0097319A">
        <w:t xml:space="preserve">percentage </w:t>
      </w:r>
      <w:r w:rsidR="00BF3A1C">
        <w:t>chance</w:t>
      </w:r>
      <w:r w:rsidR="00D06461">
        <w:t xml:space="preserve"> that the patient would </w:t>
      </w:r>
      <w:r w:rsidR="0002184B">
        <w:t xml:space="preserve">have a </w:t>
      </w:r>
      <w:r w:rsidR="0097319A">
        <w:t xml:space="preserve">final </w:t>
      </w:r>
      <w:r w:rsidR="0002184B">
        <w:t xml:space="preserve">pain score better than 60 after 26 weeks </w:t>
      </w:r>
      <w:r>
        <w:t xml:space="preserve">treatment with </w:t>
      </w:r>
      <w:proofErr w:type="spellStart"/>
      <w:r>
        <w:t>pamidronate</w:t>
      </w:r>
      <w:proofErr w:type="spellEnd"/>
      <w:r>
        <w:t>.</w:t>
      </w:r>
      <w:r w:rsidR="00BF3A1C">
        <w:t xml:space="preserve"> </w:t>
      </w:r>
    </w:p>
    <w:p w14:paraId="3AEA2712" w14:textId="77777777" w:rsidR="00BF3A1C" w:rsidRPr="003A64A6" w:rsidRDefault="00BF3A1C" w:rsidP="00BF3A1C">
      <w:pPr>
        <w:spacing w:after="120"/>
        <w:jc w:val="both"/>
      </w:pPr>
      <w:r w:rsidRPr="003A64A6">
        <w:t>Your answer: __________</w:t>
      </w:r>
      <w:r>
        <w:t>________________________</w:t>
      </w:r>
    </w:p>
    <w:p w14:paraId="43E9AA31" w14:textId="77777777" w:rsidR="00212B40" w:rsidRDefault="00BF3A1C" w:rsidP="00BF3A1C">
      <w:pPr>
        <w:spacing w:after="600"/>
        <w:jc w:val="both"/>
        <w:rPr>
          <w:b/>
          <w:sz w:val="18"/>
          <w:szCs w:val="18"/>
        </w:rPr>
      </w:pPr>
      <w:r>
        <w:rPr>
          <w:b/>
          <w:sz w:val="18"/>
          <w:szCs w:val="18"/>
        </w:rPr>
        <w:t xml:space="preserve">Example: </w:t>
      </w:r>
      <w:r w:rsidR="00212B40">
        <w:rPr>
          <w:b/>
          <w:sz w:val="18"/>
          <w:szCs w:val="18"/>
        </w:rPr>
        <w:t>The more confident you are that the patient’s pain would improve</w:t>
      </w:r>
      <w:r w:rsidR="0002184B">
        <w:rPr>
          <w:b/>
          <w:sz w:val="18"/>
          <w:szCs w:val="18"/>
        </w:rPr>
        <w:t xml:space="preserve"> </w:t>
      </w:r>
      <w:r w:rsidR="002F345E">
        <w:rPr>
          <w:b/>
          <w:sz w:val="18"/>
          <w:szCs w:val="18"/>
        </w:rPr>
        <w:t xml:space="preserve">(by even the slightest margin) </w:t>
      </w:r>
      <w:r w:rsidR="0002184B">
        <w:rPr>
          <w:b/>
          <w:sz w:val="18"/>
          <w:szCs w:val="18"/>
        </w:rPr>
        <w:t xml:space="preserve">over the 26 </w:t>
      </w:r>
      <w:proofErr w:type="gramStart"/>
      <w:r w:rsidR="0002184B">
        <w:rPr>
          <w:b/>
          <w:sz w:val="18"/>
          <w:szCs w:val="18"/>
        </w:rPr>
        <w:t>weeks</w:t>
      </w:r>
      <w:proofErr w:type="gramEnd"/>
      <w:r w:rsidR="00212B40">
        <w:rPr>
          <w:b/>
          <w:sz w:val="18"/>
          <w:szCs w:val="18"/>
        </w:rPr>
        <w:t>, the closer to 100% your answer should be.</w:t>
      </w:r>
    </w:p>
    <w:p w14:paraId="7632ECAB" w14:textId="77777777" w:rsidR="0002184B" w:rsidRDefault="0002184B" w:rsidP="0002184B">
      <w:pPr>
        <w:pStyle w:val="ListParagraph"/>
        <w:numPr>
          <w:ilvl w:val="0"/>
          <w:numId w:val="3"/>
        </w:numPr>
        <w:spacing w:after="360"/>
        <w:ind w:left="357" w:hanging="357"/>
        <w:jc w:val="both"/>
      </w:pPr>
      <w:r>
        <w:t xml:space="preserve">Provide a number between 0 and 100 such that you are 75% sure that the patient’s </w:t>
      </w:r>
      <w:r w:rsidR="009B29DB">
        <w:t xml:space="preserve">final </w:t>
      </w:r>
      <w:r>
        <w:t>pain sco</w:t>
      </w:r>
      <w:r w:rsidR="00884D35">
        <w:t>re at 26 weeks</w:t>
      </w:r>
      <w:r>
        <w:t xml:space="preserve"> would be better than this value.   </w:t>
      </w:r>
    </w:p>
    <w:p w14:paraId="1AAE5848" w14:textId="77777777" w:rsidR="0002184B" w:rsidRDefault="0002184B" w:rsidP="0002184B">
      <w:pPr>
        <w:spacing w:after="120"/>
        <w:jc w:val="both"/>
      </w:pPr>
      <w:r w:rsidRPr="003A64A6">
        <w:t>Your answer: __________</w:t>
      </w:r>
      <w:r>
        <w:t>________________________</w:t>
      </w:r>
    </w:p>
    <w:p w14:paraId="2D7D74E2" w14:textId="77777777" w:rsidR="0002184B" w:rsidRDefault="0002184B" w:rsidP="00AD6D37">
      <w:pPr>
        <w:spacing w:after="120"/>
        <w:jc w:val="both"/>
        <w:rPr>
          <w:b/>
          <w:sz w:val="18"/>
          <w:szCs w:val="18"/>
        </w:rPr>
      </w:pPr>
      <w:r w:rsidRPr="00DC3950">
        <w:rPr>
          <w:b/>
          <w:sz w:val="18"/>
          <w:szCs w:val="18"/>
        </w:rPr>
        <w:t>Example</w:t>
      </w:r>
      <w:r>
        <w:rPr>
          <w:b/>
          <w:sz w:val="18"/>
          <w:szCs w:val="18"/>
        </w:rPr>
        <w:t xml:space="preserve"> 1</w:t>
      </w:r>
      <w:r w:rsidRPr="00DC3950">
        <w:rPr>
          <w:b/>
          <w:sz w:val="18"/>
          <w:szCs w:val="18"/>
        </w:rPr>
        <w:t xml:space="preserve">: An answer of 50 </w:t>
      </w:r>
      <w:r>
        <w:rPr>
          <w:b/>
          <w:sz w:val="18"/>
          <w:szCs w:val="18"/>
        </w:rPr>
        <w:t>reflect</w:t>
      </w:r>
      <w:r w:rsidR="007D175E">
        <w:rPr>
          <w:b/>
          <w:sz w:val="18"/>
          <w:szCs w:val="18"/>
        </w:rPr>
        <w:t>s</w:t>
      </w:r>
      <w:r w:rsidRPr="00DC3950">
        <w:rPr>
          <w:b/>
          <w:sz w:val="18"/>
          <w:szCs w:val="18"/>
        </w:rPr>
        <w:t xml:space="preserve"> the opinion that there is a 75% chance</w:t>
      </w:r>
      <w:r>
        <w:rPr>
          <w:b/>
          <w:sz w:val="18"/>
          <w:szCs w:val="18"/>
        </w:rPr>
        <w:t xml:space="preserve"> the patient’s pain s</w:t>
      </w:r>
      <w:r w:rsidR="00884D35">
        <w:rPr>
          <w:b/>
          <w:sz w:val="18"/>
          <w:szCs w:val="18"/>
        </w:rPr>
        <w:t>core</w:t>
      </w:r>
      <w:r w:rsidR="007D175E">
        <w:rPr>
          <w:b/>
          <w:sz w:val="18"/>
          <w:szCs w:val="18"/>
        </w:rPr>
        <w:t xml:space="preserve"> at 26 weeks </w:t>
      </w:r>
      <w:r w:rsidR="00884D35">
        <w:rPr>
          <w:b/>
          <w:sz w:val="18"/>
          <w:szCs w:val="18"/>
        </w:rPr>
        <w:t>would be 50 or better</w:t>
      </w:r>
      <w:r>
        <w:rPr>
          <w:b/>
          <w:sz w:val="18"/>
          <w:szCs w:val="18"/>
        </w:rPr>
        <w:t xml:space="preserve">. </w:t>
      </w:r>
      <w:r w:rsidR="00AA380F">
        <w:rPr>
          <w:b/>
          <w:sz w:val="18"/>
          <w:szCs w:val="18"/>
        </w:rPr>
        <w:t>This states that there is a large chance the patient will</w:t>
      </w:r>
      <w:r w:rsidR="007D175E">
        <w:rPr>
          <w:b/>
          <w:sz w:val="18"/>
          <w:szCs w:val="18"/>
        </w:rPr>
        <w:t xml:space="preserve"> have</w:t>
      </w:r>
      <w:r w:rsidR="00AA380F">
        <w:rPr>
          <w:b/>
          <w:sz w:val="18"/>
          <w:szCs w:val="18"/>
        </w:rPr>
        <w:t xml:space="preserve"> improve</w:t>
      </w:r>
      <w:r w:rsidR="007D175E">
        <w:rPr>
          <w:b/>
          <w:sz w:val="18"/>
          <w:szCs w:val="18"/>
        </w:rPr>
        <w:t>d</w:t>
      </w:r>
      <w:r w:rsidR="00AA380F">
        <w:rPr>
          <w:b/>
          <w:sz w:val="18"/>
          <w:szCs w:val="18"/>
        </w:rPr>
        <w:t xml:space="preserve"> relative to baseline.  </w:t>
      </w:r>
    </w:p>
    <w:p w14:paraId="40F9DAD1" w14:textId="77777777" w:rsidR="0002184B" w:rsidRDefault="0002184B" w:rsidP="0002184B">
      <w:pPr>
        <w:spacing w:after="600"/>
        <w:jc w:val="both"/>
        <w:rPr>
          <w:b/>
          <w:sz w:val="18"/>
          <w:szCs w:val="18"/>
        </w:rPr>
      </w:pPr>
      <w:r>
        <w:rPr>
          <w:b/>
          <w:sz w:val="18"/>
          <w:szCs w:val="18"/>
        </w:rPr>
        <w:t xml:space="preserve">Example 2: </w:t>
      </w:r>
      <w:r w:rsidR="00AA380F">
        <w:rPr>
          <w:b/>
          <w:sz w:val="18"/>
          <w:szCs w:val="18"/>
        </w:rPr>
        <w:t>An answer of 70</w:t>
      </w:r>
      <w:r w:rsidR="00AA380F" w:rsidRPr="00DC3950">
        <w:rPr>
          <w:b/>
          <w:sz w:val="18"/>
          <w:szCs w:val="18"/>
        </w:rPr>
        <w:t xml:space="preserve"> </w:t>
      </w:r>
      <w:r w:rsidR="00AA380F">
        <w:rPr>
          <w:b/>
          <w:sz w:val="18"/>
          <w:szCs w:val="18"/>
        </w:rPr>
        <w:t>reflect</w:t>
      </w:r>
      <w:r w:rsidR="007D175E">
        <w:rPr>
          <w:b/>
          <w:sz w:val="18"/>
          <w:szCs w:val="18"/>
        </w:rPr>
        <w:t>s</w:t>
      </w:r>
      <w:r w:rsidR="00AA380F" w:rsidRPr="00DC3950">
        <w:rPr>
          <w:b/>
          <w:sz w:val="18"/>
          <w:szCs w:val="18"/>
        </w:rPr>
        <w:t xml:space="preserve"> the opinion that there is a 75% chance</w:t>
      </w:r>
      <w:r w:rsidR="00AA380F">
        <w:rPr>
          <w:b/>
          <w:sz w:val="18"/>
          <w:szCs w:val="18"/>
        </w:rPr>
        <w:t xml:space="preserve"> the patient’s pain s</w:t>
      </w:r>
      <w:r w:rsidR="00884D35">
        <w:rPr>
          <w:b/>
          <w:sz w:val="18"/>
          <w:szCs w:val="18"/>
        </w:rPr>
        <w:t>core</w:t>
      </w:r>
      <w:r w:rsidR="007D175E">
        <w:rPr>
          <w:b/>
          <w:sz w:val="18"/>
          <w:szCs w:val="18"/>
        </w:rPr>
        <w:t xml:space="preserve"> at 26 weeks</w:t>
      </w:r>
      <w:r w:rsidR="00884D35">
        <w:rPr>
          <w:b/>
          <w:sz w:val="18"/>
          <w:szCs w:val="18"/>
        </w:rPr>
        <w:t xml:space="preserve"> would be 70 or better.</w:t>
      </w:r>
      <w:r w:rsidR="00920E72">
        <w:rPr>
          <w:b/>
          <w:sz w:val="18"/>
          <w:szCs w:val="18"/>
        </w:rPr>
        <w:t xml:space="preserve"> This admits a larger chance that the patient’s pain score may have deteriorated relative to baseline by 26 weeks.</w:t>
      </w:r>
    </w:p>
    <w:p w14:paraId="4C4C6029" w14:textId="77777777" w:rsidR="00AD6D37" w:rsidRDefault="00AD6D37" w:rsidP="00AD6D37">
      <w:pPr>
        <w:pStyle w:val="ListParagraph"/>
        <w:numPr>
          <w:ilvl w:val="0"/>
          <w:numId w:val="3"/>
        </w:numPr>
        <w:spacing w:after="360"/>
        <w:ind w:left="357" w:hanging="357"/>
        <w:jc w:val="both"/>
      </w:pPr>
      <w:r>
        <w:t>Provide a number</w:t>
      </w:r>
      <w:r w:rsidR="003A64A6">
        <w:t xml:space="preserve"> between 0 and 100</w:t>
      </w:r>
      <w:r w:rsidR="00D06461">
        <w:t xml:space="preserve"> </w:t>
      </w:r>
      <w:r>
        <w:t>such that you are 50% sure tha</w:t>
      </w:r>
      <w:r w:rsidR="00884D35">
        <w:t xml:space="preserve">t the patient’s </w:t>
      </w:r>
      <w:r w:rsidR="009B29DB">
        <w:t xml:space="preserve">final </w:t>
      </w:r>
      <w:r w:rsidR="00884D35">
        <w:t>pain score at</w:t>
      </w:r>
      <w:r>
        <w:t xml:space="preserve"> 26 weeks </w:t>
      </w:r>
      <w:r w:rsidR="00956079">
        <w:t>would</w:t>
      </w:r>
      <w:r>
        <w:t xml:space="preserve"> be better than this value. </w:t>
      </w:r>
    </w:p>
    <w:p w14:paraId="2911F5BD" w14:textId="77777777" w:rsidR="00AD6D37" w:rsidRDefault="00AD6D37" w:rsidP="00AD6D37">
      <w:pPr>
        <w:pStyle w:val="ListParagraph"/>
        <w:spacing w:after="360"/>
        <w:ind w:left="357"/>
        <w:jc w:val="both"/>
      </w:pPr>
    </w:p>
    <w:p w14:paraId="310D1C44" w14:textId="77777777" w:rsidR="00DC3950" w:rsidRPr="003A64A6" w:rsidRDefault="00DC3950" w:rsidP="00AD6D37">
      <w:pPr>
        <w:pStyle w:val="ListParagraph"/>
        <w:spacing w:after="360"/>
        <w:ind w:left="0"/>
        <w:jc w:val="both"/>
      </w:pPr>
      <w:r w:rsidRPr="003A64A6">
        <w:t>Your answer: __________</w:t>
      </w:r>
      <w:r>
        <w:t>________________________</w:t>
      </w:r>
    </w:p>
    <w:p w14:paraId="5F0236EA" w14:textId="77777777" w:rsidR="003A64A6" w:rsidRPr="00DC3950" w:rsidRDefault="00DC3950" w:rsidP="00DC3950">
      <w:pPr>
        <w:spacing w:after="600"/>
        <w:jc w:val="both"/>
        <w:rPr>
          <w:b/>
          <w:sz w:val="18"/>
          <w:szCs w:val="18"/>
        </w:rPr>
      </w:pPr>
      <w:r w:rsidRPr="00DC3950">
        <w:rPr>
          <w:b/>
          <w:sz w:val="18"/>
          <w:szCs w:val="18"/>
        </w:rPr>
        <w:t>Example: An answer of 40</w:t>
      </w:r>
      <w:r>
        <w:rPr>
          <w:b/>
          <w:sz w:val="18"/>
          <w:szCs w:val="18"/>
        </w:rPr>
        <w:t xml:space="preserve"> reflects</w:t>
      </w:r>
      <w:r w:rsidRPr="00DC3950">
        <w:rPr>
          <w:b/>
          <w:sz w:val="18"/>
          <w:szCs w:val="18"/>
        </w:rPr>
        <w:t xml:space="preserve"> the opinion that there is a 50% chance the patient’s pain score</w:t>
      </w:r>
      <w:r w:rsidR="007D175E">
        <w:rPr>
          <w:b/>
          <w:sz w:val="18"/>
          <w:szCs w:val="18"/>
        </w:rPr>
        <w:t xml:space="preserve"> at 26 weeks</w:t>
      </w:r>
      <w:r w:rsidRPr="00DC3950">
        <w:rPr>
          <w:b/>
          <w:sz w:val="18"/>
          <w:szCs w:val="18"/>
        </w:rPr>
        <w:t xml:space="preserve"> would </w:t>
      </w:r>
      <w:r w:rsidR="00AD6D37">
        <w:rPr>
          <w:b/>
          <w:sz w:val="18"/>
          <w:szCs w:val="18"/>
        </w:rPr>
        <w:t>be</w:t>
      </w:r>
      <w:r w:rsidR="007D175E">
        <w:rPr>
          <w:b/>
          <w:sz w:val="18"/>
          <w:szCs w:val="18"/>
        </w:rPr>
        <w:t xml:space="preserve"> 40 or better</w:t>
      </w:r>
      <w:r w:rsidRPr="00DC3950">
        <w:rPr>
          <w:b/>
          <w:sz w:val="18"/>
          <w:szCs w:val="18"/>
        </w:rPr>
        <w:t xml:space="preserve"> </w:t>
      </w:r>
      <w:r w:rsidR="002F345E">
        <w:rPr>
          <w:b/>
          <w:sz w:val="18"/>
          <w:szCs w:val="18"/>
        </w:rPr>
        <w:t>(</w:t>
      </w:r>
      <w:r w:rsidRPr="00DC3950">
        <w:rPr>
          <w:b/>
          <w:sz w:val="18"/>
          <w:szCs w:val="18"/>
        </w:rPr>
        <w:t>and a 50% chance the patient’s pain score would be worse than 40</w:t>
      </w:r>
      <w:r w:rsidR="002F345E">
        <w:rPr>
          <w:b/>
          <w:sz w:val="18"/>
          <w:szCs w:val="18"/>
        </w:rPr>
        <w:t>)</w:t>
      </w:r>
      <w:r w:rsidRPr="00DC3950">
        <w:rPr>
          <w:b/>
          <w:sz w:val="18"/>
          <w:szCs w:val="18"/>
        </w:rPr>
        <w:t>.</w:t>
      </w:r>
    </w:p>
    <w:p w14:paraId="7301A385" w14:textId="77777777" w:rsidR="00AD6D37" w:rsidRDefault="00AD6D37" w:rsidP="00AD6D37">
      <w:pPr>
        <w:pStyle w:val="ListParagraph"/>
        <w:numPr>
          <w:ilvl w:val="0"/>
          <w:numId w:val="3"/>
        </w:numPr>
        <w:spacing w:after="360"/>
        <w:ind w:left="357" w:hanging="357"/>
        <w:jc w:val="both"/>
      </w:pPr>
      <w:r>
        <w:lastRenderedPageBreak/>
        <w:t xml:space="preserve">Provide a number between 0 and 100 such that you are 25% sure that the patient’s </w:t>
      </w:r>
      <w:r w:rsidR="009B29DB">
        <w:t xml:space="preserve">final </w:t>
      </w:r>
      <w:r>
        <w:t>pain s</w:t>
      </w:r>
      <w:r w:rsidR="00884D35">
        <w:t>core at</w:t>
      </w:r>
      <w:r>
        <w:t xml:space="preserve"> 26 weeks would be better than this value.   </w:t>
      </w:r>
    </w:p>
    <w:p w14:paraId="20EB1077" w14:textId="77777777" w:rsidR="004C7580" w:rsidRDefault="00DC3950" w:rsidP="00DC3950">
      <w:pPr>
        <w:spacing w:after="120"/>
        <w:jc w:val="both"/>
      </w:pPr>
      <w:r w:rsidRPr="003A64A6">
        <w:t>Your answer: __________</w:t>
      </w:r>
      <w:r>
        <w:t>________________________</w:t>
      </w:r>
    </w:p>
    <w:p w14:paraId="74E3757A" w14:textId="77777777" w:rsidR="003A64A6" w:rsidRPr="00DC3950" w:rsidRDefault="004C7580" w:rsidP="00920E72">
      <w:pPr>
        <w:spacing w:after="600"/>
        <w:jc w:val="both"/>
        <w:rPr>
          <w:b/>
          <w:sz w:val="18"/>
          <w:szCs w:val="18"/>
        </w:rPr>
      </w:pPr>
      <w:r w:rsidRPr="00DC3950">
        <w:rPr>
          <w:b/>
          <w:sz w:val="18"/>
          <w:szCs w:val="18"/>
        </w:rPr>
        <w:t>Example: An answer of 32 reflects the opinion that there is a 25% chance the patient’s pain score</w:t>
      </w:r>
      <w:r w:rsidR="007D175E">
        <w:rPr>
          <w:b/>
          <w:sz w:val="18"/>
          <w:szCs w:val="18"/>
        </w:rPr>
        <w:t xml:space="preserve"> at 26 weeks</w:t>
      </w:r>
      <w:r w:rsidRPr="00DC3950">
        <w:rPr>
          <w:b/>
          <w:sz w:val="18"/>
          <w:szCs w:val="18"/>
        </w:rPr>
        <w:t xml:space="preserve"> would </w:t>
      </w:r>
      <w:r w:rsidR="00AD6D37">
        <w:rPr>
          <w:b/>
          <w:sz w:val="18"/>
          <w:szCs w:val="18"/>
        </w:rPr>
        <w:t>be</w:t>
      </w:r>
      <w:r w:rsidR="007D175E">
        <w:rPr>
          <w:b/>
          <w:sz w:val="18"/>
          <w:szCs w:val="18"/>
        </w:rPr>
        <w:t xml:space="preserve"> 32 or better</w:t>
      </w:r>
      <w:r w:rsidRPr="00DC3950">
        <w:rPr>
          <w:b/>
          <w:sz w:val="18"/>
          <w:szCs w:val="18"/>
        </w:rPr>
        <w:t xml:space="preserve"> </w:t>
      </w:r>
      <w:r w:rsidR="002F345E">
        <w:rPr>
          <w:b/>
          <w:sz w:val="18"/>
          <w:szCs w:val="18"/>
        </w:rPr>
        <w:t>(</w:t>
      </w:r>
      <w:r w:rsidRPr="00DC3950">
        <w:rPr>
          <w:b/>
          <w:sz w:val="18"/>
          <w:szCs w:val="18"/>
        </w:rPr>
        <w:t>and a 75% chance the patient’s pain score would be worse than 32</w:t>
      </w:r>
      <w:r w:rsidR="002F345E">
        <w:rPr>
          <w:b/>
          <w:sz w:val="18"/>
          <w:szCs w:val="18"/>
        </w:rPr>
        <w:t>)</w:t>
      </w:r>
      <w:r w:rsidRPr="00DC3950">
        <w:rPr>
          <w:b/>
          <w:sz w:val="18"/>
          <w:szCs w:val="18"/>
        </w:rPr>
        <w:t xml:space="preserve">. </w:t>
      </w:r>
    </w:p>
    <w:p w14:paraId="551EB7C3" w14:textId="77777777" w:rsidR="00AD6D37" w:rsidRDefault="00AD6D37" w:rsidP="00AD6D37">
      <w:pPr>
        <w:pStyle w:val="ListParagraph"/>
        <w:numPr>
          <w:ilvl w:val="0"/>
          <w:numId w:val="3"/>
        </w:numPr>
        <w:spacing w:after="360"/>
        <w:ind w:left="357" w:hanging="357"/>
        <w:jc w:val="both"/>
      </w:pPr>
      <w:r>
        <w:t>Provide a number between 0 and 100 such that you are 10% sure tha</w:t>
      </w:r>
      <w:r w:rsidR="00884D35">
        <w:t xml:space="preserve">t the patient’s </w:t>
      </w:r>
      <w:r w:rsidR="009B29DB">
        <w:t xml:space="preserve">final </w:t>
      </w:r>
      <w:r w:rsidR="00884D35">
        <w:t>pain score at</w:t>
      </w:r>
      <w:r>
        <w:t xml:space="preserve"> 26 weeks would be better than this value.   </w:t>
      </w:r>
    </w:p>
    <w:p w14:paraId="167CAA28" w14:textId="77777777" w:rsidR="00DC3950" w:rsidRDefault="00DC3950" w:rsidP="00DC3950">
      <w:pPr>
        <w:spacing w:after="120"/>
        <w:jc w:val="both"/>
      </w:pPr>
      <w:r w:rsidRPr="003A64A6">
        <w:t>Your answer: __________</w:t>
      </w:r>
      <w:r>
        <w:t>________________________</w:t>
      </w:r>
    </w:p>
    <w:p w14:paraId="47986CBD" w14:textId="77777777" w:rsidR="003A64A6" w:rsidRPr="00DC3950" w:rsidRDefault="004C7580" w:rsidP="00DC3950">
      <w:pPr>
        <w:spacing w:after="600"/>
        <w:jc w:val="both"/>
        <w:rPr>
          <w:b/>
          <w:sz w:val="18"/>
          <w:szCs w:val="18"/>
        </w:rPr>
      </w:pPr>
      <w:r w:rsidRPr="00DC3950">
        <w:rPr>
          <w:b/>
          <w:sz w:val="18"/>
          <w:szCs w:val="18"/>
        </w:rPr>
        <w:t>Example: An answer of 20 reflects the opinion that there is a 10% chance the patient’s pain score</w:t>
      </w:r>
      <w:r w:rsidR="007D175E">
        <w:rPr>
          <w:b/>
          <w:sz w:val="18"/>
          <w:szCs w:val="18"/>
        </w:rPr>
        <w:t xml:space="preserve"> at 26 weeks</w:t>
      </w:r>
      <w:r w:rsidRPr="00DC3950">
        <w:rPr>
          <w:b/>
          <w:sz w:val="18"/>
          <w:szCs w:val="18"/>
        </w:rPr>
        <w:t xml:space="preserve"> would </w:t>
      </w:r>
      <w:r w:rsidR="00AD6D37">
        <w:rPr>
          <w:b/>
          <w:sz w:val="18"/>
          <w:szCs w:val="18"/>
        </w:rPr>
        <w:t>be</w:t>
      </w:r>
      <w:r w:rsidR="00884D35">
        <w:rPr>
          <w:b/>
          <w:sz w:val="18"/>
          <w:szCs w:val="18"/>
        </w:rPr>
        <w:t xml:space="preserve"> 20 or be</w:t>
      </w:r>
      <w:r w:rsidR="007D175E">
        <w:rPr>
          <w:b/>
          <w:sz w:val="18"/>
          <w:szCs w:val="18"/>
        </w:rPr>
        <w:t>tter</w:t>
      </w:r>
      <w:r w:rsidRPr="00DC3950">
        <w:rPr>
          <w:b/>
          <w:sz w:val="18"/>
          <w:szCs w:val="18"/>
        </w:rPr>
        <w:t xml:space="preserve"> </w:t>
      </w:r>
      <w:r w:rsidR="002F345E">
        <w:rPr>
          <w:b/>
          <w:sz w:val="18"/>
          <w:szCs w:val="18"/>
        </w:rPr>
        <w:t>(</w:t>
      </w:r>
      <w:r w:rsidRPr="00DC3950">
        <w:rPr>
          <w:b/>
          <w:sz w:val="18"/>
          <w:szCs w:val="18"/>
        </w:rPr>
        <w:t>and a 90% chance the patient’s pain score would be worse than 20</w:t>
      </w:r>
      <w:r w:rsidR="002F345E">
        <w:rPr>
          <w:b/>
          <w:sz w:val="18"/>
          <w:szCs w:val="18"/>
        </w:rPr>
        <w:t>)</w:t>
      </w:r>
      <w:r w:rsidRPr="00DC3950">
        <w:rPr>
          <w:b/>
          <w:sz w:val="18"/>
          <w:szCs w:val="18"/>
        </w:rPr>
        <w:t xml:space="preserve">. </w:t>
      </w:r>
    </w:p>
    <w:p w14:paraId="3D906EF2" w14:textId="77777777" w:rsidR="00D06461" w:rsidRDefault="00AA7AE5" w:rsidP="00DC3950">
      <w:pPr>
        <w:pStyle w:val="ListParagraph"/>
        <w:numPr>
          <w:ilvl w:val="0"/>
          <w:numId w:val="3"/>
        </w:numPr>
        <w:spacing w:after="360"/>
        <w:ind w:left="357" w:hanging="357"/>
        <w:jc w:val="both"/>
      </w:pPr>
      <w:r>
        <w:t>C</w:t>
      </w:r>
      <w:r w:rsidR="003E1336">
        <w:t>onsider a typical patient presenting at baseline with a pain score of 60</w:t>
      </w:r>
      <w:r w:rsidR="00212B40">
        <w:t>mm</w:t>
      </w:r>
      <w:r w:rsidR="003E1336">
        <w:t xml:space="preserve"> who will receive </w:t>
      </w:r>
      <w:proofErr w:type="spellStart"/>
      <w:r w:rsidR="003E1336">
        <w:t>pamidronate</w:t>
      </w:r>
      <w:proofErr w:type="spellEnd"/>
      <w:r w:rsidR="003E1336">
        <w:t>. E</w:t>
      </w:r>
      <w:r w:rsidR="00D06461">
        <w:t xml:space="preserve">nter in </w:t>
      </w:r>
      <w:r w:rsidR="004C7580">
        <w:t>the table</w:t>
      </w:r>
      <w:r w:rsidR="003E1336">
        <w:t xml:space="preserve"> below</w:t>
      </w:r>
      <w:r w:rsidR="002F345E">
        <w:t xml:space="preserve"> the percentage chance</w:t>
      </w:r>
      <w:r w:rsidR="004C7580">
        <w:t xml:space="preserve"> </w:t>
      </w:r>
      <w:r w:rsidR="002F345E">
        <w:t xml:space="preserve">(between </w:t>
      </w:r>
      <w:r w:rsidR="004C7580">
        <w:t>0</w:t>
      </w:r>
      <w:r w:rsidR="00212B40">
        <w:t xml:space="preserve"> </w:t>
      </w:r>
      <w:r w:rsidR="002F345E">
        <w:t>–</w:t>
      </w:r>
      <w:r w:rsidR="00212B40">
        <w:t xml:space="preserve"> </w:t>
      </w:r>
      <w:r w:rsidR="004C7580">
        <w:t>100</w:t>
      </w:r>
      <w:r w:rsidR="002F345E">
        <w:t>) that represents</w:t>
      </w:r>
      <w:r w:rsidR="004C7580">
        <w:t xml:space="preserve"> the strength of your belief </w:t>
      </w:r>
      <w:r w:rsidR="003E1336">
        <w:t>that this</w:t>
      </w:r>
      <w:r w:rsidR="00D06461">
        <w:t xml:space="preserve"> patient </w:t>
      </w:r>
      <w:r w:rsidR="003E1336">
        <w:t>would</w:t>
      </w:r>
      <w:r w:rsidR="002F345E">
        <w:t xml:space="preserve"> actually</w:t>
      </w:r>
      <w:r w:rsidR="003E1336">
        <w:t xml:space="preserve"> have a pain score at</w:t>
      </w:r>
      <w:r w:rsidR="00D06461">
        <w:t xml:space="preserve"> 26 weeks</w:t>
      </w:r>
      <w:r w:rsidR="003733AF">
        <w:t xml:space="preserve"> </w:t>
      </w:r>
      <w:r w:rsidR="00D06461">
        <w:t>lying in e</w:t>
      </w:r>
      <w:r w:rsidR="003E1336">
        <w:t>ach of the</w:t>
      </w:r>
      <w:r w:rsidR="0097319A">
        <w:t xml:space="preserve"> </w:t>
      </w:r>
      <w:r w:rsidR="003E1336">
        <w:t>intervals</w:t>
      </w:r>
      <w:r w:rsidR="002F345E">
        <w:t xml:space="preserve"> provided</w:t>
      </w:r>
      <w:r w:rsidR="00D06461">
        <w:t>. The more strongly</w:t>
      </w:r>
      <w:r w:rsidR="003E1336">
        <w:t xml:space="preserve"> you believe that the</w:t>
      </w:r>
      <w:r w:rsidR="002F345E">
        <w:t xml:space="preserve"> patient’s</w:t>
      </w:r>
      <w:r w:rsidR="003E1336">
        <w:t xml:space="preserve"> score would</w:t>
      </w:r>
      <w:r w:rsidR="002F345E">
        <w:t xml:space="preserve"> actually</w:t>
      </w:r>
      <w:r w:rsidR="00D06461">
        <w:t xml:space="preserve"> lie in a p</w:t>
      </w:r>
      <w:r>
        <w:t>articular interval, the closer to 100 your</w:t>
      </w:r>
      <w:r w:rsidR="003E1336">
        <w:t xml:space="preserve"> number should be. </w:t>
      </w:r>
      <w:r w:rsidR="00D06461">
        <w:t>If you believe it impossible that the score would lie in a parti</w:t>
      </w:r>
      <w:r w:rsidR="003E1336">
        <w:t>cular interval, then the number</w:t>
      </w:r>
      <w:r w:rsidR="00D06461">
        <w:t xml:space="preserve"> should be zero.</w:t>
      </w:r>
      <w:r w:rsidR="003E1336">
        <w:t xml:space="preserve"> If you are certain that the score would lie in an interval, the number should be 100.</w:t>
      </w:r>
      <w:r w:rsidR="002F345E">
        <w:t xml:space="preserve"> Your scores should all add up</w:t>
      </w:r>
      <w:r w:rsidR="00D06461">
        <w:t xml:space="preserve"> to 100.</w:t>
      </w:r>
    </w:p>
    <w:tbl>
      <w:tblPr>
        <w:tblStyle w:val="TableGrid"/>
        <w:tblW w:w="10858" w:type="dxa"/>
        <w:jc w:val="center"/>
        <w:tblInd w:w="-9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567"/>
        <w:gridCol w:w="709"/>
        <w:gridCol w:w="851"/>
        <w:gridCol w:w="850"/>
        <w:gridCol w:w="807"/>
        <w:gridCol w:w="752"/>
        <w:gridCol w:w="851"/>
        <w:gridCol w:w="686"/>
        <w:gridCol w:w="891"/>
        <w:gridCol w:w="891"/>
        <w:gridCol w:w="891"/>
        <w:gridCol w:w="694"/>
      </w:tblGrid>
      <w:tr w:rsidR="003733AF" w14:paraId="274DCA08" w14:textId="77777777" w:rsidTr="0097319A">
        <w:trPr>
          <w:jc w:val="center"/>
        </w:trPr>
        <w:tc>
          <w:tcPr>
            <w:tcW w:w="1418" w:type="dxa"/>
          </w:tcPr>
          <w:p w14:paraId="68FCFD0C" w14:textId="77777777" w:rsidR="003733AF" w:rsidRPr="003733AF" w:rsidRDefault="003733AF" w:rsidP="005757A0">
            <w:pPr>
              <w:jc w:val="both"/>
              <w:rPr>
                <w:sz w:val="20"/>
                <w:szCs w:val="20"/>
              </w:rPr>
            </w:pPr>
          </w:p>
        </w:tc>
        <w:tc>
          <w:tcPr>
            <w:tcW w:w="5387" w:type="dxa"/>
            <w:gridSpan w:val="7"/>
          </w:tcPr>
          <w:p w14:paraId="4C84ABF8" w14:textId="77777777" w:rsidR="003733AF" w:rsidRPr="003733AF" w:rsidRDefault="003733AF" w:rsidP="005757A0">
            <w:pPr>
              <w:jc w:val="center"/>
              <w:rPr>
                <w:sz w:val="20"/>
                <w:szCs w:val="20"/>
              </w:rPr>
            </w:pPr>
            <w:r w:rsidRPr="003733AF">
              <w:rPr>
                <w:sz w:val="20"/>
                <w:szCs w:val="20"/>
              </w:rPr>
              <w:t>Improvement in pain at 26 weeks compared with baseline</w:t>
            </w:r>
          </w:p>
          <w:p w14:paraId="18C6378A" w14:textId="77777777" w:rsidR="003733AF" w:rsidRPr="003733AF" w:rsidRDefault="004C7580" w:rsidP="005757A0">
            <w:pPr>
              <w:jc w:val="both"/>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2414D79E" wp14:editId="4EA09B1E">
                      <wp:simplePos x="0" y="0"/>
                      <wp:positionH relativeFrom="column">
                        <wp:posOffset>3328035</wp:posOffset>
                      </wp:positionH>
                      <wp:positionV relativeFrom="paragraph">
                        <wp:posOffset>200964</wp:posOffset>
                      </wp:positionV>
                      <wp:extent cx="2447925" cy="0"/>
                      <wp:effectExtent l="0" t="152400" r="0" b="190500"/>
                      <wp:wrapNone/>
                      <wp:docPr id="2" name="Straight Arrow Connector 2"/>
                      <wp:cNvGraphicFramePr/>
                      <a:graphic xmlns:a="http://schemas.openxmlformats.org/drawingml/2006/main">
                        <a:graphicData uri="http://schemas.microsoft.com/office/word/2010/wordprocessingShape">
                          <wps:wsp>
                            <wps:cNvCnPr/>
                            <wps:spPr>
                              <a:xfrm>
                                <a:off x="0" y="0"/>
                                <a:ext cx="2447925" cy="0"/>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2.05pt;margin-top:15.8pt;width:19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" strokecolor="red" strokeweight="4pt">
                      <v:stroke endarrow="open"/>
                    </v:shape>
                  </w:pict>
                </mc:Fallback>
              </mc:AlternateContent>
            </w:r>
            <w:r>
              <w:rPr>
                <w:noProof/>
                <w:sz w:val="20"/>
                <w:szCs w:val="20"/>
                <w:lang w:val="en-US"/>
              </w:rPr>
              <mc:AlternateContent>
                <mc:Choice Requires="wps">
                  <w:drawing>
                    <wp:anchor distT="0" distB="0" distL="114300" distR="114300" simplePos="0" relativeHeight="251660288" behindDoc="0" locked="0" layoutInCell="1" allowOverlap="1" wp14:anchorId="026BBC1F" wp14:editId="7A1CAC27">
                      <wp:simplePos x="0" y="0"/>
                      <wp:positionH relativeFrom="column">
                        <wp:posOffset>-66675</wp:posOffset>
                      </wp:positionH>
                      <wp:positionV relativeFrom="paragraph">
                        <wp:posOffset>193344</wp:posOffset>
                      </wp:positionV>
                      <wp:extent cx="3251835" cy="0"/>
                      <wp:effectExtent l="38100" t="152400" r="0" b="190500"/>
                      <wp:wrapNone/>
                      <wp:docPr id="4" name="Straight Arrow Connector 4"/>
                      <wp:cNvGraphicFramePr/>
                      <a:graphic xmlns:a="http://schemas.openxmlformats.org/drawingml/2006/main">
                        <a:graphicData uri="http://schemas.microsoft.com/office/word/2010/wordprocessingShape">
                          <wps:wsp>
                            <wps:cNvCnPr/>
                            <wps:spPr>
                              <a:xfrm flipH="1">
                                <a:off x="0" y="0"/>
                                <a:ext cx="3251835" cy="0"/>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5.25pt;margin-top:15.2pt;width:256.05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" strokecolor="#4579b8 [3044]" strokeweight="4pt">
                      <v:stroke endarrow="open"/>
                    </v:shape>
                  </w:pict>
                </mc:Fallback>
              </mc:AlternateContent>
            </w:r>
          </w:p>
        </w:tc>
        <w:tc>
          <w:tcPr>
            <w:tcW w:w="4053" w:type="dxa"/>
            <w:gridSpan w:val="5"/>
          </w:tcPr>
          <w:p w14:paraId="074D78EF" w14:textId="77777777" w:rsidR="003733AF" w:rsidRDefault="003733AF" w:rsidP="005757A0">
            <w:pPr>
              <w:jc w:val="center"/>
              <w:rPr>
                <w:sz w:val="20"/>
                <w:szCs w:val="20"/>
              </w:rPr>
            </w:pPr>
            <w:r w:rsidRPr="003733AF">
              <w:rPr>
                <w:sz w:val="20"/>
                <w:szCs w:val="20"/>
              </w:rPr>
              <w:t xml:space="preserve">Worsening of pain </w:t>
            </w:r>
            <w:r w:rsidR="00DC3950">
              <w:rPr>
                <w:sz w:val="20"/>
                <w:szCs w:val="20"/>
              </w:rPr>
              <w:t>at 26 weeks compared</w:t>
            </w:r>
            <w:r w:rsidRPr="003733AF">
              <w:rPr>
                <w:sz w:val="20"/>
                <w:szCs w:val="20"/>
              </w:rPr>
              <w:t xml:space="preserve"> with baseline</w:t>
            </w:r>
          </w:p>
          <w:p w14:paraId="42252D75" w14:textId="77777777" w:rsidR="004C7580" w:rsidRPr="003733AF" w:rsidRDefault="004C7580" w:rsidP="005757A0">
            <w:pPr>
              <w:jc w:val="center"/>
              <w:rPr>
                <w:sz w:val="20"/>
                <w:szCs w:val="20"/>
              </w:rPr>
            </w:pPr>
          </w:p>
        </w:tc>
      </w:tr>
      <w:tr w:rsidR="003733AF" w14:paraId="49BD7578" w14:textId="77777777" w:rsidTr="0097319A">
        <w:trPr>
          <w:jc w:val="center"/>
        </w:trPr>
        <w:tc>
          <w:tcPr>
            <w:tcW w:w="1418" w:type="dxa"/>
          </w:tcPr>
          <w:p w14:paraId="6E4C574A" w14:textId="77777777" w:rsidR="003733AF" w:rsidRPr="003733AF" w:rsidRDefault="0097319A" w:rsidP="0097319A">
            <w:pPr>
              <w:rPr>
                <w:sz w:val="20"/>
                <w:szCs w:val="20"/>
              </w:rPr>
            </w:pPr>
            <w:r>
              <w:rPr>
                <w:sz w:val="20"/>
                <w:szCs w:val="20"/>
              </w:rPr>
              <w:t>Final pain score at 26 weeks</w:t>
            </w:r>
          </w:p>
        </w:tc>
        <w:tc>
          <w:tcPr>
            <w:tcW w:w="567" w:type="dxa"/>
          </w:tcPr>
          <w:p w14:paraId="01BDAF8B" w14:textId="77777777" w:rsidR="003733AF" w:rsidRPr="003733AF" w:rsidRDefault="003733AF" w:rsidP="005757A0">
            <w:pPr>
              <w:jc w:val="both"/>
              <w:rPr>
                <w:sz w:val="20"/>
                <w:szCs w:val="20"/>
              </w:rPr>
            </w:pPr>
            <w:r w:rsidRPr="003733AF">
              <w:rPr>
                <w:sz w:val="20"/>
                <w:szCs w:val="20"/>
              </w:rPr>
              <w:t>&lt;  5</w:t>
            </w:r>
          </w:p>
        </w:tc>
        <w:tc>
          <w:tcPr>
            <w:tcW w:w="709" w:type="dxa"/>
          </w:tcPr>
          <w:p w14:paraId="65040C22" w14:textId="77777777" w:rsidR="003733AF" w:rsidRPr="003733AF" w:rsidRDefault="003733AF" w:rsidP="005757A0">
            <w:pPr>
              <w:jc w:val="both"/>
              <w:rPr>
                <w:sz w:val="20"/>
                <w:szCs w:val="20"/>
              </w:rPr>
            </w:pPr>
            <w:r w:rsidRPr="003733AF">
              <w:rPr>
                <w:sz w:val="20"/>
                <w:szCs w:val="20"/>
              </w:rPr>
              <w:t>5 -10</w:t>
            </w:r>
          </w:p>
        </w:tc>
        <w:tc>
          <w:tcPr>
            <w:tcW w:w="851" w:type="dxa"/>
          </w:tcPr>
          <w:p w14:paraId="67526DBC" w14:textId="77777777" w:rsidR="003733AF" w:rsidRPr="003733AF" w:rsidRDefault="003733AF" w:rsidP="005757A0">
            <w:pPr>
              <w:jc w:val="both"/>
              <w:rPr>
                <w:sz w:val="20"/>
                <w:szCs w:val="20"/>
              </w:rPr>
            </w:pPr>
            <w:r w:rsidRPr="003733AF">
              <w:rPr>
                <w:sz w:val="20"/>
                <w:szCs w:val="20"/>
              </w:rPr>
              <w:t>10-20</w:t>
            </w:r>
          </w:p>
        </w:tc>
        <w:tc>
          <w:tcPr>
            <w:tcW w:w="850" w:type="dxa"/>
          </w:tcPr>
          <w:p w14:paraId="6048C007" w14:textId="77777777" w:rsidR="003733AF" w:rsidRPr="003733AF" w:rsidRDefault="003733AF" w:rsidP="005757A0">
            <w:pPr>
              <w:jc w:val="both"/>
              <w:rPr>
                <w:sz w:val="20"/>
                <w:szCs w:val="20"/>
              </w:rPr>
            </w:pPr>
            <w:r w:rsidRPr="003733AF">
              <w:rPr>
                <w:sz w:val="20"/>
                <w:szCs w:val="20"/>
              </w:rPr>
              <w:t>20-30</w:t>
            </w:r>
          </w:p>
        </w:tc>
        <w:tc>
          <w:tcPr>
            <w:tcW w:w="807" w:type="dxa"/>
          </w:tcPr>
          <w:p w14:paraId="61FBBA9C" w14:textId="77777777" w:rsidR="003733AF" w:rsidRPr="003733AF" w:rsidRDefault="003733AF" w:rsidP="005757A0">
            <w:pPr>
              <w:jc w:val="both"/>
              <w:rPr>
                <w:sz w:val="20"/>
                <w:szCs w:val="20"/>
              </w:rPr>
            </w:pPr>
            <w:r w:rsidRPr="003733AF">
              <w:rPr>
                <w:sz w:val="20"/>
                <w:szCs w:val="20"/>
              </w:rPr>
              <w:t>30-40</w:t>
            </w:r>
          </w:p>
        </w:tc>
        <w:tc>
          <w:tcPr>
            <w:tcW w:w="752" w:type="dxa"/>
          </w:tcPr>
          <w:p w14:paraId="1132EC5C" w14:textId="77777777" w:rsidR="003733AF" w:rsidRPr="003733AF" w:rsidRDefault="003733AF" w:rsidP="005757A0">
            <w:pPr>
              <w:jc w:val="both"/>
              <w:rPr>
                <w:sz w:val="20"/>
                <w:szCs w:val="20"/>
              </w:rPr>
            </w:pPr>
            <w:r w:rsidRPr="003733AF">
              <w:rPr>
                <w:sz w:val="20"/>
                <w:szCs w:val="20"/>
              </w:rPr>
              <w:t>40-50</w:t>
            </w:r>
          </w:p>
        </w:tc>
        <w:tc>
          <w:tcPr>
            <w:tcW w:w="851" w:type="dxa"/>
          </w:tcPr>
          <w:p w14:paraId="69A2384C" w14:textId="77777777" w:rsidR="003733AF" w:rsidRPr="003733AF" w:rsidRDefault="003733AF" w:rsidP="005757A0">
            <w:pPr>
              <w:jc w:val="both"/>
              <w:rPr>
                <w:sz w:val="20"/>
                <w:szCs w:val="20"/>
              </w:rPr>
            </w:pPr>
            <w:r w:rsidRPr="003733AF">
              <w:rPr>
                <w:sz w:val="20"/>
                <w:szCs w:val="20"/>
              </w:rPr>
              <w:t>50-60</w:t>
            </w:r>
          </w:p>
        </w:tc>
        <w:tc>
          <w:tcPr>
            <w:tcW w:w="686" w:type="dxa"/>
          </w:tcPr>
          <w:p w14:paraId="0F56A244" w14:textId="77777777" w:rsidR="003733AF" w:rsidRPr="003733AF" w:rsidRDefault="003733AF" w:rsidP="005757A0">
            <w:pPr>
              <w:jc w:val="both"/>
              <w:rPr>
                <w:sz w:val="20"/>
                <w:szCs w:val="20"/>
              </w:rPr>
            </w:pPr>
            <w:r w:rsidRPr="003733AF">
              <w:rPr>
                <w:sz w:val="20"/>
                <w:szCs w:val="20"/>
              </w:rPr>
              <w:t>60-70</w:t>
            </w:r>
          </w:p>
        </w:tc>
        <w:tc>
          <w:tcPr>
            <w:tcW w:w="891" w:type="dxa"/>
          </w:tcPr>
          <w:p w14:paraId="099BB857" w14:textId="77777777" w:rsidR="003733AF" w:rsidRPr="003733AF" w:rsidRDefault="003733AF" w:rsidP="005757A0">
            <w:pPr>
              <w:jc w:val="both"/>
              <w:rPr>
                <w:sz w:val="20"/>
                <w:szCs w:val="20"/>
              </w:rPr>
            </w:pPr>
            <w:r w:rsidRPr="003733AF">
              <w:rPr>
                <w:sz w:val="20"/>
                <w:szCs w:val="20"/>
              </w:rPr>
              <w:t>70-80</w:t>
            </w:r>
          </w:p>
        </w:tc>
        <w:tc>
          <w:tcPr>
            <w:tcW w:w="891" w:type="dxa"/>
          </w:tcPr>
          <w:p w14:paraId="35FB8679" w14:textId="77777777" w:rsidR="003733AF" w:rsidRPr="003733AF" w:rsidRDefault="003733AF" w:rsidP="005757A0">
            <w:pPr>
              <w:jc w:val="both"/>
              <w:rPr>
                <w:sz w:val="20"/>
                <w:szCs w:val="20"/>
              </w:rPr>
            </w:pPr>
            <w:r w:rsidRPr="003733AF">
              <w:rPr>
                <w:sz w:val="20"/>
                <w:szCs w:val="20"/>
              </w:rPr>
              <w:t>80-90</w:t>
            </w:r>
          </w:p>
        </w:tc>
        <w:tc>
          <w:tcPr>
            <w:tcW w:w="891" w:type="dxa"/>
          </w:tcPr>
          <w:p w14:paraId="0D629186" w14:textId="77777777" w:rsidR="003733AF" w:rsidRPr="003733AF" w:rsidRDefault="003733AF" w:rsidP="005757A0">
            <w:pPr>
              <w:jc w:val="both"/>
              <w:rPr>
                <w:sz w:val="20"/>
                <w:szCs w:val="20"/>
              </w:rPr>
            </w:pPr>
            <w:r w:rsidRPr="003733AF">
              <w:rPr>
                <w:sz w:val="20"/>
                <w:szCs w:val="20"/>
              </w:rPr>
              <w:t>90-95</w:t>
            </w:r>
          </w:p>
        </w:tc>
        <w:tc>
          <w:tcPr>
            <w:tcW w:w="694" w:type="dxa"/>
          </w:tcPr>
          <w:p w14:paraId="197572AF" w14:textId="77777777" w:rsidR="003733AF" w:rsidRPr="003733AF" w:rsidRDefault="003733AF" w:rsidP="005757A0">
            <w:pPr>
              <w:jc w:val="both"/>
              <w:rPr>
                <w:sz w:val="20"/>
                <w:szCs w:val="20"/>
              </w:rPr>
            </w:pPr>
            <w:r w:rsidRPr="003733AF">
              <w:rPr>
                <w:sz w:val="20"/>
                <w:szCs w:val="20"/>
              </w:rPr>
              <w:t>&gt;95</w:t>
            </w:r>
          </w:p>
        </w:tc>
      </w:tr>
      <w:tr w:rsidR="005757A0" w14:paraId="5A7E87D2" w14:textId="77777777" w:rsidTr="0097319A">
        <w:trPr>
          <w:jc w:val="center"/>
        </w:trPr>
        <w:tc>
          <w:tcPr>
            <w:tcW w:w="1418" w:type="dxa"/>
          </w:tcPr>
          <w:p w14:paraId="04506AE4" w14:textId="77777777" w:rsidR="00DC3950" w:rsidRDefault="00DC3950" w:rsidP="00B65C1D">
            <w:pPr>
              <w:rPr>
                <w:sz w:val="20"/>
                <w:szCs w:val="20"/>
              </w:rPr>
            </w:pPr>
          </w:p>
          <w:p w14:paraId="1C216EB1" w14:textId="77777777" w:rsidR="008745DD" w:rsidRPr="003733AF" w:rsidRDefault="008745DD" w:rsidP="00B65C1D">
            <w:pPr>
              <w:rPr>
                <w:sz w:val="20"/>
                <w:szCs w:val="20"/>
              </w:rPr>
            </w:pPr>
            <w:r w:rsidRPr="003733AF">
              <w:rPr>
                <w:sz w:val="20"/>
                <w:szCs w:val="20"/>
              </w:rPr>
              <w:t>Your entry</w:t>
            </w:r>
          </w:p>
        </w:tc>
        <w:tc>
          <w:tcPr>
            <w:tcW w:w="567" w:type="dxa"/>
          </w:tcPr>
          <w:p w14:paraId="49A0492D" w14:textId="77777777" w:rsidR="008745DD" w:rsidRPr="003733AF" w:rsidRDefault="008745DD" w:rsidP="005757A0">
            <w:pPr>
              <w:jc w:val="both"/>
              <w:rPr>
                <w:sz w:val="20"/>
                <w:szCs w:val="20"/>
              </w:rPr>
            </w:pPr>
          </w:p>
          <w:p w14:paraId="25242B20" w14:textId="77777777" w:rsidR="003733AF" w:rsidRDefault="003733AF" w:rsidP="005757A0">
            <w:pPr>
              <w:jc w:val="both"/>
              <w:rPr>
                <w:sz w:val="20"/>
                <w:szCs w:val="20"/>
              </w:rPr>
            </w:pPr>
          </w:p>
          <w:p w14:paraId="7797340D" w14:textId="77777777" w:rsidR="003733AF" w:rsidRPr="003733AF" w:rsidRDefault="003733AF" w:rsidP="005757A0">
            <w:pPr>
              <w:jc w:val="both"/>
              <w:rPr>
                <w:sz w:val="20"/>
                <w:szCs w:val="20"/>
              </w:rPr>
            </w:pPr>
          </w:p>
        </w:tc>
        <w:tc>
          <w:tcPr>
            <w:tcW w:w="709" w:type="dxa"/>
          </w:tcPr>
          <w:p w14:paraId="7EB4D739" w14:textId="77777777" w:rsidR="008745DD" w:rsidRPr="003733AF" w:rsidRDefault="008745DD" w:rsidP="005757A0">
            <w:pPr>
              <w:jc w:val="both"/>
              <w:rPr>
                <w:sz w:val="20"/>
                <w:szCs w:val="20"/>
              </w:rPr>
            </w:pPr>
          </w:p>
        </w:tc>
        <w:tc>
          <w:tcPr>
            <w:tcW w:w="851" w:type="dxa"/>
          </w:tcPr>
          <w:p w14:paraId="7AB19353" w14:textId="77777777" w:rsidR="008745DD" w:rsidRPr="003733AF" w:rsidRDefault="008745DD" w:rsidP="005757A0">
            <w:pPr>
              <w:jc w:val="both"/>
              <w:rPr>
                <w:sz w:val="20"/>
                <w:szCs w:val="20"/>
              </w:rPr>
            </w:pPr>
          </w:p>
        </w:tc>
        <w:tc>
          <w:tcPr>
            <w:tcW w:w="850" w:type="dxa"/>
          </w:tcPr>
          <w:p w14:paraId="096DCD78" w14:textId="77777777" w:rsidR="008745DD" w:rsidRPr="003733AF" w:rsidRDefault="008745DD" w:rsidP="005757A0">
            <w:pPr>
              <w:jc w:val="both"/>
              <w:rPr>
                <w:sz w:val="20"/>
                <w:szCs w:val="20"/>
              </w:rPr>
            </w:pPr>
          </w:p>
        </w:tc>
        <w:tc>
          <w:tcPr>
            <w:tcW w:w="807" w:type="dxa"/>
          </w:tcPr>
          <w:p w14:paraId="547020E0" w14:textId="77777777" w:rsidR="008745DD" w:rsidRPr="003733AF" w:rsidRDefault="008745DD" w:rsidP="005757A0">
            <w:pPr>
              <w:jc w:val="both"/>
              <w:rPr>
                <w:sz w:val="20"/>
                <w:szCs w:val="20"/>
              </w:rPr>
            </w:pPr>
          </w:p>
        </w:tc>
        <w:tc>
          <w:tcPr>
            <w:tcW w:w="752" w:type="dxa"/>
          </w:tcPr>
          <w:p w14:paraId="6CAA18A0" w14:textId="77777777" w:rsidR="008745DD" w:rsidRPr="003733AF" w:rsidRDefault="008745DD" w:rsidP="005757A0">
            <w:pPr>
              <w:jc w:val="both"/>
              <w:rPr>
                <w:sz w:val="20"/>
                <w:szCs w:val="20"/>
              </w:rPr>
            </w:pPr>
          </w:p>
        </w:tc>
        <w:tc>
          <w:tcPr>
            <w:tcW w:w="851" w:type="dxa"/>
          </w:tcPr>
          <w:p w14:paraId="547F9781" w14:textId="77777777" w:rsidR="008745DD" w:rsidRPr="003733AF" w:rsidRDefault="008745DD" w:rsidP="005757A0">
            <w:pPr>
              <w:jc w:val="both"/>
              <w:rPr>
                <w:sz w:val="20"/>
                <w:szCs w:val="20"/>
              </w:rPr>
            </w:pPr>
          </w:p>
        </w:tc>
        <w:tc>
          <w:tcPr>
            <w:tcW w:w="686" w:type="dxa"/>
          </w:tcPr>
          <w:p w14:paraId="3DE40090" w14:textId="77777777" w:rsidR="008745DD" w:rsidRPr="003733AF" w:rsidRDefault="008745DD" w:rsidP="005757A0">
            <w:pPr>
              <w:jc w:val="both"/>
              <w:rPr>
                <w:sz w:val="20"/>
                <w:szCs w:val="20"/>
              </w:rPr>
            </w:pPr>
          </w:p>
        </w:tc>
        <w:tc>
          <w:tcPr>
            <w:tcW w:w="891" w:type="dxa"/>
          </w:tcPr>
          <w:p w14:paraId="6EF65FD6" w14:textId="77777777" w:rsidR="008745DD" w:rsidRPr="003733AF" w:rsidRDefault="008745DD" w:rsidP="005757A0">
            <w:pPr>
              <w:jc w:val="both"/>
              <w:rPr>
                <w:sz w:val="20"/>
                <w:szCs w:val="20"/>
              </w:rPr>
            </w:pPr>
          </w:p>
        </w:tc>
        <w:tc>
          <w:tcPr>
            <w:tcW w:w="891" w:type="dxa"/>
          </w:tcPr>
          <w:p w14:paraId="7CC7988A" w14:textId="77777777" w:rsidR="008745DD" w:rsidRPr="003733AF" w:rsidRDefault="008745DD" w:rsidP="005757A0">
            <w:pPr>
              <w:jc w:val="both"/>
              <w:rPr>
                <w:sz w:val="20"/>
                <w:szCs w:val="20"/>
              </w:rPr>
            </w:pPr>
          </w:p>
        </w:tc>
        <w:tc>
          <w:tcPr>
            <w:tcW w:w="891" w:type="dxa"/>
          </w:tcPr>
          <w:p w14:paraId="1033D375" w14:textId="77777777" w:rsidR="008745DD" w:rsidRPr="003733AF" w:rsidRDefault="008745DD" w:rsidP="005757A0">
            <w:pPr>
              <w:jc w:val="both"/>
              <w:rPr>
                <w:sz w:val="20"/>
                <w:szCs w:val="20"/>
              </w:rPr>
            </w:pPr>
          </w:p>
        </w:tc>
        <w:tc>
          <w:tcPr>
            <w:tcW w:w="694" w:type="dxa"/>
          </w:tcPr>
          <w:p w14:paraId="2F43E395" w14:textId="77777777" w:rsidR="008745DD" w:rsidRPr="003733AF" w:rsidRDefault="008745DD" w:rsidP="005757A0">
            <w:pPr>
              <w:jc w:val="both"/>
              <w:rPr>
                <w:sz w:val="20"/>
                <w:szCs w:val="20"/>
              </w:rPr>
            </w:pPr>
          </w:p>
        </w:tc>
      </w:tr>
      <w:tr w:rsidR="005757A0" w14:paraId="2506FA24" w14:textId="77777777" w:rsidTr="0097319A">
        <w:trPr>
          <w:jc w:val="center"/>
        </w:trPr>
        <w:tc>
          <w:tcPr>
            <w:tcW w:w="1418" w:type="dxa"/>
          </w:tcPr>
          <w:p w14:paraId="432D6213" w14:textId="77777777" w:rsidR="008745DD" w:rsidRPr="00DC3950" w:rsidRDefault="004C7580" w:rsidP="00B65C1D">
            <w:pPr>
              <w:rPr>
                <w:b/>
                <w:sz w:val="20"/>
                <w:szCs w:val="20"/>
              </w:rPr>
            </w:pPr>
            <w:r w:rsidRPr="00DC3950">
              <w:rPr>
                <w:b/>
                <w:sz w:val="20"/>
                <w:szCs w:val="20"/>
              </w:rPr>
              <w:t>Example</w:t>
            </w:r>
          </w:p>
        </w:tc>
        <w:tc>
          <w:tcPr>
            <w:tcW w:w="567" w:type="dxa"/>
          </w:tcPr>
          <w:p w14:paraId="3F184420" w14:textId="77777777" w:rsidR="008745DD" w:rsidRPr="00DC3950" w:rsidRDefault="005757A0" w:rsidP="00372668">
            <w:pPr>
              <w:jc w:val="center"/>
              <w:rPr>
                <w:b/>
                <w:sz w:val="20"/>
                <w:szCs w:val="20"/>
              </w:rPr>
            </w:pPr>
            <w:r w:rsidRPr="00DC3950">
              <w:rPr>
                <w:b/>
                <w:sz w:val="20"/>
                <w:szCs w:val="20"/>
              </w:rPr>
              <w:t>0</w:t>
            </w:r>
          </w:p>
        </w:tc>
        <w:tc>
          <w:tcPr>
            <w:tcW w:w="709" w:type="dxa"/>
          </w:tcPr>
          <w:p w14:paraId="20FA5592" w14:textId="77777777" w:rsidR="008745DD" w:rsidRPr="00DC3950" w:rsidRDefault="005757A0" w:rsidP="00372668">
            <w:pPr>
              <w:jc w:val="center"/>
              <w:rPr>
                <w:b/>
                <w:sz w:val="20"/>
                <w:szCs w:val="20"/>
              </w:rPr>
            </w:pPr>
            <w:r w:rsidRPr="00DC3950">
              <w:rPr>
                <w:b/>
                <w:sz w:val="20"/>
                <w:szCs w:val="20"/>
              </w:rPr>
              <w:t>0</w:t>
            </w:r>
          </w:p>
        </w:tc>
        <w:tc>
          <w:tcPr>
            <w:tcW w:w="851" w:type="dxa"/>
          </w:tcPr>
          <w:p w14:paraId="3EB182A1" w14:textId="77777777" w:rsidR="008745DD" w:rsidRPr="00DC3950" w:rsidRDefault="005757A0" w:rsidP="00372668">
            <w:pPr>
              <w:jc w:val="center"/>
              <w:rPr>
                <w:b/>
                <w:sz w:val="20"/>
                <w:szCs w:val="20"/>
              </w:rPr>
            </w:pPr>
            <w:r w:rsidRPr="00DC3950">
              <w:rPr>
                <w:b/>
                <w:sz w:val="20"/>
                <w:szCs w:val="20"/>
              </w:rPr>
              <w:t>0</w:t>
            </w:r>
          </w:p>
        </w:tc>
        <w:tc>
          <w:tcPr>
            <w:tcW w:w="850" w:type="dxa"/>
          </w:tcPr>
          <w:p w14:paraId="3AED23FE" w14:textId="77777777" w:rsidR="008745DD" w:rsidRPr="00DC3950" w:rsidRDefault="005757A0" w:rsidP="00372668">
            <w:pPr>
              <w:jc w:val="center"/>
              <w:rPr>
                <w:b/>
                <w:sz w:val="20"/>
                <w:szCs w:val="20"/>
              </w:rPr>
            </w:pPr>
            <w:r w:rsidRPr="00DC3950">
              <w:rPr>
                <w:b/>
                <w:sz w:val="20"/>
                <w:szCs w:val="20"/>
              </w:rPr>
              <w:t>0</w:t>
            </w:r>
          </w:p>
        </w:tc>
        <w:tc>
          <w:tcPr>
            <w:tcW w:w="807" w:type="dxa"/>
          </w:tcPr>
          <w:p w14:paraId="368AA862" w14:textId="77777777" w:rsidR="008745DD" w:rsidRPr="00DC3950" w:rsidRDefault="003E1336" w:rsidP="00372668">
            <w:pPr>
              <w:jc w:val="center"/>
              <w:rPr>
                <w:b/>
                <w:sz w:val="20"/>
                <w:szCs w:val="20"/>
              </w:rPr>
            </w:pPr>
            <w:r w:rsidRPr="00DC3950">
              <w:rPr>
                <w:b/>
                <w:sz w:val="20"/>
                <w:szCs w:val="20"/>
              </w:rPr>
              <w:t>40</w:t>
            </w:r>
          </w:p>
        </w:tc>
        <w:tc>
          <w:tcPr>
            <w:tcW w:w="752" w:type="dxa"/>
          </w:tcPr>
          <w:p w14:paraId="006A7AAB" w14:textId="77777777" w:rsidR="008745DD" w:rsidRPr="00DC3950" w:rsidRDefault="003E1336" w:rsidP="00372668">
            <w:pPr>
              <w:jc w:val="center"/>
              <w:rPr>
                <w:b/>
                <w:sz w:val="20"/>
                <w:szCs w:val="20"/>
              </w:rPr>
            </w:pPr>
            <w:r w:rsidRPr="00DC3950">
              <w:rPr>
                <w:b/>
                <w:sz w:val="20"/>
                <w:szCs w:val="20"/>
              </w:rPr>
              <w:t>40</w:t>
            </w:r>
          </w:p>
        </w:tc>
        <w:tc>
          <w:tcPr>
            <w:tcW w:w="851" w:type="dxa"/>
          </w:tcPr>
          <w:p w14:paraId="0FF0950A" w14:textId="77777777" w:rsidR="008745DD" w:rsidRPr="00DC3950" w:rsidRDefault="003E1336" w:rsidP="00372668">
            <w:pPr>
              <w:jc w:val="center"/>
              <w:rPr>
                <w:b/>
                <w:sz w:val="20"/>
                <w:szCs w:val="20"/>
              </w:rPr>
            </w:pPr>
            <w:r w:rsidRPr="00DC3950">
              <w:rPr>
                <w:b/>
                <w:sz w:val="20"/>
                <w:szCs w:val="20"/>
              </w:rPr>
              <w:t>2</w:t>
            </w:r>
            <w:r w:rsidR="005757A0" w:rsidRPr="00DC3950">
              <w:rPr>
                <w:b/>
                <w:sz w:val="20"/>
                <w:szCs w:val="20"/>
              </w:rPr>
              <w:t>0</w:t>
            </w:r>
          </w:p>
        </w:tc>
        <w:tc>
          <w:tcPr>
            <w:tcW w:w="686" w:type="dxa"/>
          </w:tcPr>
          <w:p w14:paraId="1B926CD7" w14:textId="77777777" w:rsidR="008745DD" w:rsidRPr="00DC3950" w:rsidRDefault="005757A0" w:rsidP="00372668">
            <w:pPr>
              <w:jc w:val="center"/>
              <w:rPr>
                <w:b/>
                <w:sz w:val="20"/>
                <w:szCs w:val="20"/>
              </w:rPr>
            </w:pPr>
            <w:r w:rsidRPr="00DC3950">
              <w:rPr>
                <w:b/>
                <w:sz w:val="20"/>
                <w:szCs w:val="20"/>
              </w:rPr>
              <w:t>0</w:t>
            </w:r>
          </w:p>
        </w:tc>
        <w:tc>
          <w:tcPr>
            <w:tcW w:w="891" w:type="dxa"/>
          </w:tcPr>
          <w:p w14:paraId="5B6628AB" w14:textId="77777777" w:rsidR="008745DD" w:rsidRPr="00DC3950" w:rsidRDefault="003E1336" w:rsidP="00372668">
            <w:pPr>
              <w:jc w:val="center"/>
              <w:rPr>
                <w:b/>
                <w:sz w:val="20"/>
                <w:szCs w:val="20"/>
              </w:rPr>
            </w:pPr>
            <w:r w:rsidRPr="00DC3950">
              <w:rPr>
                <w:b/>
                <w:sz w:val="20"/>
                <w:szCs w:val="20"/>
              </w:rPr>
              <w:t>0</w:t>
            </w:r>
          </w:p>
        </w:tc>
        <w:tc>
          <w:tcPr>
            <w:tcW w:w="891" w:type="dxa"/>
          </w:tcPr>
          <w:p w14:paraId="7932FEEC" w14:textId="77777777" w:rsidR="008745DD" w:rsidRPr="00DC3950" w:rsidRDefault="003E1336" w:rsidP="00372668">
            <w:pPr>
              <w:jc w:val="center"/>
              <w:rPr>
                <w:b/>
                <w:sz w:val="20"/>
                <w:szCs w:val="20"/>
              </w:rPr>
            </w:pPr>
            <w:r w:rsidRPr="00DC3950">
              <w:rPr>
                <w:b/>
                <w:sz w:val="20"/>
                <w:szCs w:val="20"/>
              </w:rPr>
              <w:t>0</w:t>
            </w:r>
          </w:p>
        </w:tc>
        <w:tc>
          <w:tcPr>
            <w:tcW w:w="891" w:type="dxa"/>
          </w:tcPr>
          <w:p w14:paraId="346AA151" w14:textId="77777777" w:rsidR="008745DD" w:rsidRPr="00DC3950" w:rsidRDefault="005757A0" w:rsidP="00372668">
            <w:pPr>
              <w:jc w:val="center"/>
              <w:rPr>
                <w:b/>
                <w:sz w:val="20"/>
                <w:szCs w:val="20"/>
              </w:rPr>
            </w:pPr>
            <w:r w:rsidRPr="00DC3950">
              <w:rPr>
                <w:b/>
                <w:sz w:val="20"/>
                <w:szCs w:val="20"/>
              </w:rPr>
              <w:t>0</w:t>
            </w:r>
          </w:p>
        </w:tc>
        <w:tc>
          <w:tcPr>
            <w:tcW w:w="694" w:type="dxa"/>
          </w:tcPr>
          <w:p w14:paraId="79BB6462" w14:textId="77777777" w:rsidR="008745DD" w:rsidRPr="00DC3950" w:rsidRDefault="005757A0" w:rsidP="00372668">
            <w:pPr>
              <w:jc w:val="center"/>
              <w:rPr>
                <w:b/>
                <w:sz w:val="20"/>
                <w:szCs w:val="20"/>
              </w:rPr>
            </w:pPr>
            <w:r w:rsidRPr="00DC3950">
              <w:rPr>
                <w:b/>
                <w:sz w:val="20"/>
                <w:szCs w:val="20"/>
              </w:rPr>
              <w:t>0</w:t>
            </w:r>
          </w:p>
        </w:tc>
      </w:tr>
    </w:tbl>
    <w:p w14:paraId="17B6F858" w14:textId="77777777" w:rsidR="00D06461" w:rsidRDefault="00D06461" w:rsidP="005757A0">
      <w:pPr>
        <w:jc w:val="both"/>
      </w:pPr>
    </w:p>
    <w:p w14:paraId="61620376" w14:textId="77777777" w:rsidR="00DC3950" w:rsidRDefault="002F345E" w:rsidP="0097319A">
      <w:pPr>
        <w:jc w:val="both"/>
      </w:pPr>
      <w:r>
        <w:t>This</w:t>
      </w:r>
      <w:r w:rsidR="00696A61">
        <w:t xml:space="preserve"> </w:t>
      </w:r>
      <w:r w:rsidR="005757A0">
        <w:t>example</w:t>
      </w:r>
      <w:r w:rsidR="00696A61">
        <w:t xml:space="preserve"> reflects a strong belief that the patient will see a marked improveme</w:t>
      </w:r>
      <w:r>
        <w:t>nt in their pain after 26 weeks. For example,</w:t>
      </w:r>
      <w:r w:rsidR="0097319A">
        <w:t xml:space="preserve"> there is an equal chance of the patient’s final pain score being between 40 - 50 (representing </w:t>
      </w:r>
      <w:r w:rsidR="00696A61">
        <w:t>a 17</w:t>
      </w:r>
      <w:r w:rsidR="00212B40">
        <w:t xml:space="preserve"> </w:t>
      </w:r>
      <w:r w:rsidR="00696A61">
        <w:t>-</w:t>
      </w:r>
      <w:r w:rsidR="00212B40">
        <w:t xml:space="preserve"> </w:t>
      </w:r>
      <w:r w:rsidR="00696A61">
        <w:t xml:space="preserve">33% </w:t>
      </w:r>
      <w:r w:rsidR="0097319A">
        <w:t>improvement from an initial score of 60) or 30 – 40 (representing a 33 - 50% improvement from baseline)</w:t>
      </w:r>
      <w:r w:rsidR="00696A61">
        <w:t>. There is also a smaller chance that the patient experiences a more modest improvement in their pain score</w:t>
      </w:r>
      <w:r w:rsidR="0097319A">
        <w:t xml:space="preserve"> (with their final score lying between 50 and 60). All other final scores</w:t>
      </w:r>
      <w:r w:rsidR="00696A61">
        <w:t xml:space="preserve"> are considered impossible</w:t>
      </w:r>
      <w:r w:rsidR="0097319A">
        <w:t xml:space="preserve"> and therefore entered as zero</w:t>
      </w:r>
      <w:r w:rsidR="00696A61">
        <w:t xml:space="preserve">. </w:t>
      </w:r>
    </w:p>
    <w:p w14:paraId="082BA840" w14:textId="77777777" w:rsidR="00DC3950" w:rsidRDefault="00DC3950">
      <w:r>
        <w:br w:type="page"/>
      </w:r>
    </w:p>
    <w:p w14:paraId="0DE265B0" w14:textId="77777777" w:rsidR="003733AF" w:rsidRPr="00DC3950" w:rsidRDefault="003733AF" w:rsidP="00DC3950">
      <w:r w:rsidRPr="005757A0">
        <w:rPr>
          <w:b/>
          <w:u w:val="single"/>
        </w:rPr>
        <w:lastRenderedPageBreak/>
        <w:t>Eliciting your opinion</w:t>
      </w:r>
      <w:r w:rsidR="00C253E3">
        <w:rPr>
          <w:b/>
          <w:u w:val="single"/>
        </w:rPr>
        <w:t xml:space="preserve"> on</w:t>
      </w:r>
      <w:r>
        <w:rPr>
          <w:b/>
          <w:u w:val="single"/>
        </w:rPr>
        <w:t xml:space="preserve"> the effect of </w:t>
      </w:r>
      <w:proofErr w:type="spellStart"/>
      <w:r>
        <w:rPr>
          <w:b/>
          <w:u w:val="single"/>
        </w:rPr>
        <w:t>adalimumab</w:t>
      </w:r>
      <w:proofErr w:type="spellEnd"/>
    </w:p>
    <w:p w14:paraId="4163BA86" w14:textId="77777777" w:rsidR="006A48BF" w:rsidRDefault="006A48BF" w:rsidP="006A48BF">
      <w:pPr>
        <w:jc w:val="both"/>
      </w:pPr>
      <w:r>
        <w:t xml:space="preserve">Suppose you are asked to treat an individual patient. Let’s suppose that this patient is typical of the patients you see in your clinical practice and </w:t>
      </w:r>
      <w:r w:rsidRPr="006A394A">
        <w:rPr>
          <w:b/>
        </w:rPr>
        <w:t>presents at baseline with a pain score of 60mm on the VAS</w:t>
      </w:r>
      <w:r>
        <w:t xml:space="preserve">. The following questions ask for your opinion on what this patient’s pain score would be after </w:t>
      </w:r>
      <w:r w:rsidR="00920E72" w:rsidRPr="00943344">
        <w:rPr>
          <w:color w:val="FF0000"/>
          <w:u w:val="single"/>
        </w:rPr>
        <w:t>26 weeks of treatment with</w:t>
      </w:r>
      <w:r w:rsidRPr="00943344">
        <w:rPr>
          <w:color w:val="FF0000"/>
          <w:u w:val="single"/>
        </w:rPr>
        <w:t xml:space="preserve"> </w:t>
      </w:r>
      <w:proofErr w:type="spellStart"/>
      <w:r w:rsidRPr="00943344">
        <w:rPr>
          <w:color w:val="FF0000"/>
          <w:u w:val="single"/>
        </w:rPr>
        <w:t>adalimumab</w:t>
      </w:r>
      <w:proofErr w:type="spellEnd"/>
      <w:r w:rsidRPr="00884D35">
        <w:rPr>
          <w:color w:val="FF0000"/>
        </w:rPr>
        <w:t xml:space="preserve">. </w:t>
      </w:r>
    </w:p>
    <w:p w14:paraId="29F77941" w14:textId="77777777" w:rsidR="006A48BF" w:rsidRDefault="006A48BF" w:rsidP="006A48BF">
      <w:pPr>
        <w:jc w:val="both"/>
      </w:pPr>
    </w:p>
    <w:p w14:paraId="15F36C89" w14:textId="77777777" w:rsidR="00EE4595" w:rsidRDefault="00EE4595" w:rsidP="00EE4595">
      <w:pPr>
        <w:pStyle w:val="ListParagraph"/>
        <w:numPr>
          <w:ilvl w:val="0"/>
          <w:numId w:val="8"/>
        </w:numPr>
        <w:spacing w:after="360"/>
        <w:jc w:val="both"/>
      </w:pPr>
      <w:r>
        <w:t>Provide a value (between 0 and 100%</w:t>
      </w:r>
      <w:proofErr w:type="gramStart"/>
      <w:r>
        <w:t>) which you think</w:t>
      </w:r>
      <w:proofErr w:type="gramEnd"/>
      <w:r>
        <w:t xml:space="preserve"> is the percentage chance that the patient would have a final pain score better than 60 after 26 weeks treatment with </w:t>
      </w:r>
      <w:proofErr w:type="spellStart"/>
      <w:r>
        <w:t>adalimumab</w:t>
      </w:r>
      <w:proofErr w:type="spellEnd"/>
      <w:r>
        <w:t xml:space="preserve">. </w:t>
      </w:r>
    </w:p>
    <w:p w14:paraId="369786E8" w14:textId="77777777" w:rsidR="0081109A" w:rsidRPr="003A64A6" w:rsidRDefault="0081109A" w:rsidP="0081109A">
      <w:pPr>
        <w:spacing w:after="120"/>
        <w:jc w:val="both"/>
      </w:pPr>
      <w:r w:rsidRPr="003A64A6">
        <w:t>Your answer: __________</w:t>
      </w:r>
      <w:r>
        <w:t>________________________</w:t>
      </w:r>
    </w:p>
    <w:p w14:paraId="6E1F4287" w14:textId="77777777" w:rsidR="00EE4595" w:rsidRDefault="00EE4595" w:rsidP="00EE4595">
      <w:pPr>
        <w:spacing w:after="600"/>
        <w:jc w:val="both"/>
        <w:rPr>
          <w:b/>
          <w:sz w:val="18"/>
          <w:szCs w:val="18"/>
        </w:rPr>
      </w:pPr>
      <w:r>
        <w:rPr>
          <w:b/>
          <w:sz w:val="18"/>
          <w:szCs w:val="18"/>
        </w:rPr>
        <w:t>Example: The more confident you are that the patient’s pain would improve (by even the slightest margin) over the 26 weeks, the closer to 100% your answer should be.</w:t>
      </w:r>
    </w:p>
    <w:p w14:paraId="4048237D" w14:textId="77777777" w:rsidR="0081109A" w:rsidRDefault="0081109A" w:rsidP="00EE4595">
      <w:pPr>
        <w:pStyle w:val="ListParagraph"/>
        <w:numPr>
          <w:ilvl w:val="0"/>
          <w:numId w:val="8"/>
        </w:numPr>
        <w:spacing w:after="360"/>
        <w:jc w:val="both"/>
      </w:pPr>
      <w:r>
        <w:t xml:space="preserve">Provide a number between 0 and 100 such that you are 75% sure </w:t>
      </w:r>
      <w:r w:rsidR="00884D35">
        <w:t xml:space="preserve">that the patient’s </w:t>
      </w:r>
      <w:r w:rsidR="00EE4595">
        <w:t xml:space="preserve">final </w:t>
      </w:r>
      <w:r w:rsidR="00884D35">
        <w:t>pain score at</w:t>
      </w:r>
      <w:r>
        <w:t xml:space="preserve"> 26 weeks would be better than this value.   </w:t>
      </w:r>
    </w:p>
    <w:p w14:paraId="2A86425C" w14:textId="77777777" w:rsidR="0081109A" w:rsidRDefault="0081109A" w:rsidP="0081109A">
      <w:pPr>
        <w:spacing w:after="120"/>
        <w:jc w:val="both"/>
      </w:pPr>
      <w:r w:rsidRPr="003A64A6">
        <w:t>Your answer: __________</w:t>
      </w:r>
      <w:r>
        <w:t>________________________</w:t>
      </w:r>
    </w:p>
    <w:p w14:paraId="7BAC95FD" w14:textId="77777777" w:rsidR="00EE4595" w:rsidRDefault="00EE4595" w:rsidP="00EE4595">
      <w:pPr>
        <w:spacing w:after="120"/>
        <w:jc w:val="both"/>
        <w:rPr>
          <w:b/>
          <w:sz w:val="18"/>
          <w:szCs w:val="18"/>
        </w:rPr>
      </w:pPr>
      <w:r w:rsidRPr="00DC3950">
        <w:rPr>
          <w:b/>
          <w:sz w:val="18"/>
          <w:szCs w:val="18"/>
        </w:rPr>
        <w:t>Example</w:t>
      </w:r>
      <w:r>
        <w:rPr>
          <w:b/>
          <w:sz w:val="18"/>
          <w:szCs w:val="18"/>
        </w:rPr>
        <w:t xml:space="preserve"> 1</w:t>
      </w:r>
      <w:r w:rsidRPr="00DC3950">
        <w:rPr>
          <w:b/>
          <w:sz w:val="18"/>
          <w:szCs w:val="18"/>
        </w:rPr>
        <w:t xml:space="preserve">: An answer of 50 </w:t>
      </w:r>
      <w:r>
        <w:rPr>
          <w:b/>
          <w:sz w:val="18"/>
          <w:szCs w:val="18"/>
        </w:rPr>
        <w:t>reflects</w:t>
      </w:r>
      <w:r w:rsidRPr="00DC3950">
        <w:rPr>
          <w:b/>
          <w:sz w:val="18"/>
          <w:szCs w:val="18"/>
        </w:rPr>
        <w:t xml:space="preserve"> the opinion that there is a 75% chance</w:t>
      </w:r>
      <w:r>
        <w:rPr>
          <w:b/>
          <w:sz w:val="18"/>
          <w:szCs w:val="18"/>
        </w:rPr>
        <w:t xml:space="preserve"> the patient’s pain score at 26 weeks would be 50 or better. This states that there is a large chance the patient will have improved relative to baseline.  </w:t>
      </w:r>
    </w:p>
    <w:p w14:paraId="2703118F" w14:textId="77777777" w:rsidR="00EE4595" w:rsidRDefault="00EE4595" w:rsidP="00EE4595">
      <w:pPr>
        <w:spacing w:after="600"/>
        <w:jc w:val="both"/>
        <w:rPr>
          <w:b/>
          <w:sz w:val="18"/>
          <w:szCs w:val="18"/>
        </w:rPr>
      </w:pPr>
      <w:r>
        <w:rPr>
          <w:b/>
          <w:sz w:val="18"/>
          <w:szCs w:val="18"/>
        </w:rPr>
        <w:t>Example 2: An answer of 70</w:t>
      </w:r>
      <w:r w:rsidRPr="00DC3950">
        <w:rPr>
          <w:b/>
          <w:sz w:val="18"/>
          <w:szCs w:val="18"/>
        </w:rPr>
        <w:t xml:space="preserve"> </w:t>
      </w:r>
      <w:r>
        <w:rPr>
          <w:b/>
          <w:sz w:val="18"/>
          <w:szCs w:val="18"/>
        </w:rPr>
        <w:t>reflects</w:t>
      </w:r>
      <w:r w:rsidRPr="00DC3950">
        <w:rPr>
          <w:b/>
          <w:sz w:val="18"/>
          <w:szCs w:val="18"/>
        </w:rPr>
        <w:t xml:space="preserve"> the opinion that there is a 75% chance</w:t>
      </w:r>
      <w:r>
        <w:rPr>
          <w:b/>
          <w:sz w:val="18"/>
          <w:szCs w:val="18"/>
        </w:rPr>
        <w:t xml:space="preserve"> the patient’s pain score at 26 weeks would be 70 or better. This admits a larger chance that the patient’s pain score may have deteriorated relative to baseline by 26 weeks.</w:t>
      </w:r>
    </w:p>
    <w:p w14:paraId="3BC55E29" w14:textId="77777777" w:rsidR="0081109A" w:rsidRDefault="0081109A" w:rsidP="00EE4595">
      <w:pPr>
        <w:pStyle w:val="ListParagraph"/>
        <w:numPr>
          <w:ilvl w:val="0"/>
          <w:numId w:val="8"/>
        </w:numPr>
        <w:spacing w:after="360"/>
        <w:jc w:val="both"/>
      </w:pPr>
      <w:r>
        <w:t>Provide a number between 0 and 100 such that you are 50% sure tha</w:t>
      </w:r>
      <w:r w:rsidR="00884D35">
        <w:t xml:space="preserve">t the patient’s </w:t>
      </w:r>
      <w:r w:rsidR="00EE4595">
        <w:t xml:space="preserve">final </w:t>
      </w:r>
      <w:r w:rsidR="00884D35">
        <w:t xml:space="preserve">pain score at 26 weeks </w:t>
      </w:r>
      <w:r w:rsidR="00956079">
        <w:t>would</w:t>
      </w:r>
      <w:r>
        <w:t xml:space="preserve"> be better than this value. </w:t>
      </w:r>
    </w:p>
    <w:p w14:paraId="1DBA221D" w14:textId="77777777" w:rsidR="0081109A" w:rsidRDefault="0081109A" w:rsidP="0081109A">
      <w:pPr>
        <w:pStyle w:val="ListParagraph"/>
        <w:spacing w:after="360"/>
        <w:ind w:left="357"/>
        <w:jc w:val="both"/>
      </w:pPr>
    </w:p>
    <w:p w14:paraId="08BB7680" w14:textId="77777777" w:rsidR="0081109A" w:rsidRPr="003A64A6" w:rsidRDefault="0081109A" w:rsidP="0081109A">
      <w:pPr>
        <w:pStyle w:val="ListParagraph"/>
        <w:spacing w:after="360"/>
        <w:ind w:left="0"/>
        <w:jc w:val="both"/>
      </w:pPr>
      <w:r w:rsidRPr="003A64A6">
        <w:t>Your answer: __________</w:t>
      </w:r>
      <w:r>
        <w:t>________________________</w:t>
      </w:r>
    </w:p>
    <w:p w14:paraId="1ABDB650" w14:textId="77777777" w:rsidR="00EE4595" w:rsidRPr="00DC3950" w:rsidRDefault="00EE4595" w:rsidP="00EE4595">
      <w:pPr>
        <w:spacing w:after="600"/>
        <w:jc w:val="both"/>
        <w:rPr>
          <w:b/>
          <w:sz w:val="18"/>
          <w:szCs w:val="18"/>
        </w:rPr>
      </w:pPr>
      <w:r w:rsidRPr="00DC3950">
        <w:rPr>
          <w:b/>
          <w:sz w:val="18"/>
          <w:szCs w:val="18"/>
        </w:rPr>
        <w:t>Example: An answer of 40</w:t>
      </w:r>
      <w:r>
        <w:rPr>
          <w:b/>
          <w:sz w:val="18"/>
          <w:szCs w:val="18"/>
        </w:rPr>
        <w:t xml:space="preserve"> reflects</w:t>
      </w:r>
      <w:r w:rsidRPr="00DC3950">
        <w:rPr>
          <w:b/>
          <w:sz w:val="18"/>
          <w:szCs w:val="18"/>
        </w:rPr>
        <w:t xml:space="preserve"> the opinion that there is a 50% chance the patient’s pain score</w:t>
      </w:r>
      <w:r>
        <w:rPr>
          <w:b/>
          <w:sz w:val="18"/>
          <w:szCs w:val="18"/>
        </w:rPr>
        <w:t xml:space="preserve"> at 26 weeks</w:t>
      </w:r>
      <w:r w:rsidRPr="00DC3950">
        <w:rPr>
          <w:b/>
          <w:sz w:val="18"/>
          <w:szCs w:val="18"/>
        </w:rPr>
        <w:t xml:space="preserve"> would </w:t>
      </w:r>
      <w:r>
        <w:rPr>
          <w:b/>
          <w:sz w:val="18"/>
          <w:szCs w:val="18"/>
        </w:rPr>
        <w:t>be 40 or better</w:t>
      </w:r>
      <w:r w:rsidRPr="00DC3950">
        <w:rPr>
          <w:b/>
          <w:sz w:val="18"/>
          <w:szCs w:val="18"/>
        </w:rPr>
        <w:t xml:space="preserve"> </w:t>
      </w:r>
      <w:r>
        <w:rPr>
          <w:b/>
          <w:sz w:val="18"/>
          <w:szCs w:val="18"/>
        </w:rPr>
        <w:t>(</w:t>
      </w:r>
      <w:r w:rsidRPr="00DC3950">
        <w:rPr>
          <w:b/>
          <w:sz w:val="18"/>
          <w:szCs w:val="18"/>
        </w:rPr>
        <w:t>and a 50% chance the patient’s pain score would be worse than 40</w:t>
      </w:r>
      <w:r>
        <w:rPr>
          <w:b/>
          <w:sz w:val="18"/>
          <w:szCs w:val="18"/>
        </w:rPr>
        <w:t>)</w:t>
      </w:r>
      <w:r w:rsidRPr="00DC3950">
        <w:rPr>
          <w:b/>
          <w:sz w:val="18"/>
          <w:szCs w:val="18"/>
        </w:rPr>
        <w:t>.</w:t>
      </w:r>
    </w:p>
    <w:p w14:paraId="7B07DC2C" w14:textId="77777777" w:rsidR="0081109A" w:rsidRDefault="0081109A" w:rsidP="00EE4595">
      <w:pPr>
        <w:pStyle w:val="ListParagraph"/>
        <w:numPr>
          <w:ilvl w:val="0"/>
          <w:numId w:val="8"/>
        </w:numPr>
        <w:spacing w:after="360"/>
        <w:jc w:val="both"/>
      </w:pPr>
      <w:r>
        <w:t>Provide a number between 0 and 100 such that you are 25% sure tha</w:t>
      </w:r>
      <w:r w:rsidR="00884D35">
        <w:t xml:space="preserve">t the patient’s </w:t>
      </w:r>
      <w:r w:rsidR="00EE4595">
        <w:t xml:space="preserve">final </w:t>
      </w:r>
      <w:r w:rsidR="00884D35">
        <w:t>pain score at</w:t>
      </w:r>
      <w:r>
        <w:t xml:space="preserve"> 26 weeks would be better than this value.   </w:t>
      </w:r>
    </w:p>
    <w:p w14:paraId="77967E44" w14:textId="77777777" w:rsidR="0081109A" w:rsidRDefault="0081109A" w:rsidP="0081109A">
      <w:pPr>
        <w:spacing w:after="120"/>
        <w:jc w:val="both"/>
      </w:pPr>
      <w:r w:rsidRPr="003A64A6">
        <w:t>Your answer: __________</w:t>
      </w:r>
      <w:r>
        <w:t>________________________</w:t>
      </w:r>
    </w:p>
    <w:p w14:paraId="6376E153" w14:textId="77777777" w:rsidR="00EE4595" w:rsidRPr="00DC3950" w:rsidRDefault="00EE4595" w:rsidP="00EE4595">
      <w:pPr>
        <w:spacing w:after="600"/>
        <w:jc w:val="both"/>
        <w:rPr>
          <w:b/>
          <w:sz w:val="18"/>
          <w:szCs w:val="18"/>
        </w:rPr>
      </w:pPr>
      <w:r w:rsidRPr="00DC3950">
        <w:rPr>
          <w:b/>
          <w:sz w:val="18"/>
          <w:szCs w:val="18"/>
        </w:rPr>
        <w:t>Example: An answer of 32 reflects the opinion that there is a 25% chance the patient’s pain score</w:t>
      </w:r>
      <w:r>
        <w:rPr>
          <w:b/>
          <w:sz w:val="18"/>
          <w:szCs w:val="18"/>
        </w:rPr>
        <w:t xml:space="preserve"> at 26 weeks</w:t>
      </w:r>
      <w:r w:rsidRPr="00DC3950">
        <w:rPr>
          <w:b/>
          <w:sz w:val="18"/>
          <w:szCs w:val="18"/>
        </w:rPr>
        <w:t xml:space="preserve"> would </w:t>
      </w:r>
      <w:r>
        <w:rPr>
          <w:b/>
          <w:sz w:val="18"/>
          <w:szCs w:val="18"/>
        </w:rPr>
        <w:t>be 32 or better</w:t>
      </w:r>
      <w:r w:rsidRPr="00DC3950">
        <w:rPr>
          <w:b/>
          <w:sz w:val="18"/>
          <w:szCs w:val="18"/>
        </w:rPr>
        <w:t xml:space="preserve"> </w:t>
      </w:r>
      <w:r>
        <w:rPr>
          <w:b/>
          <w:sz w:val="18"/>
          <w:szCs w:val="18"/>
        </w:rPr>
        <w:t>(</w:t>
      </w:r>
      <w:r w:rsidRPr="00DC3950">
        <w:rPr>
          <w:b/>
          <w:sz w:val="18"/>
          <w:szCs w:val="18"/>
        </w:rPr>
        <w:t>and a 75% chance the patient’s pain score would be worse than 32</w:t>
      </w:r>
      <w:r>
        <w:rPr>
          <w:b/>
          <w:sz w:val="18"/>
          <w:szCs w:val="18"/>
        </w:rPr>
        <w:t>)</w:t>
      </w:r>
      <w:r w:rsidRPr="00DC3950">
        <w:rPr>
          <w:b/>
          <w:sz w:val="18"/>
          <w:szCs w:val="18"/>
        </w:rPr>
        <w:t xml:space="preserve">. </w:t>
      </w:r>
    </w:p>
    <w:p w14:paraId="62AF1946" w14:textId="77777777" w:rsidR="0081109A" w:rsidRDefault="0081109A" w:rsidP="00EE4595">
      <w:pPr>
        <w:pStyle w:val="ListParagraph"/>
        <w:numPr>
          <w:ilvl w:val="0"/>
          <w:numId w:val="8"/>
        </w:numPr>
        <w:spacing w:after="360"/>
        <w:jc w:val="both"/>
      </w:pPr>
      <w:r>
        <w:lastRenderedPageBreak/>
        <w:t>Provide a number between 0 and 100 such that you are 10% sure tha</w:t>
      </w:r>
      <w:r w:rsidR="00956079">
        <w:t xml:space="preserve">t the patient’s </w:t>
      </w:r>
      <w:r w:rsidR="00F12DB8">
        <w:t xml:space="preserve">final </w:t>
      </w:r>
      <w:r w:rsidR="00956079">
        <w:t xml:space="preserve">pain score at 26 weeks </w:t>
      </w:r>
      <w:r>
        <w:t xml:space="preserve">would be better than this value.   </w:t>
      </w:r>
    </w:p>
    <w:p w14:paraId="72697063" w14:textId="77777777" w:rsidR="0081109A" w:rsidRDefault="0081109A" w:rsidP="0081109A">
      <w:pPr>
        <w:spacing w:after="120"/>
        <w:jc w:val="both"/>
      </w:pPr>
      <w:r w:rsidRPr="003A64A6">
        <w:t>Your answer: __________</w:t>
      </w:r>
      <w:r>
        <w:t>________________________</w:t>
      </w:r>
    </w:p>
    <w:p w14:paraId="52097DA0" w14:textId="77777777" w:rsidR="00F12DB8" w:rsidRPr="00DC3950" w:rsidRDefault="00F12DB8" w:rsidP="00F12DB8">
      <w:pPr>
        <w:spacing w:after="600"/>
        <w:jc w:val="both"/>
        <w:rPr>
          <w:b/>
          <w:sz w:val="18"/>
          <w:szCs w:val="18"/>
        </w:rPr>
      </w:pPr>
      <w:r w:rsidRPr="00DC3950">
        <w:rPr>
          <w:b/>
          <w:sz w:val="18"/>
          <w:szCs w:val="18"/>
        </w:rPr>
        <w:t>Example: An answer of 20 reflects the opinion that there is a 10% chance the patient’s pain score</w:t>
      </w:r>
      <w:r>
        <w:rPr>
          <w:b/>
          <w:sz w:val="18"/>
          <w:szCs w:val="18"/>
        </w:rPr>
        <w:t xml:space="preserve"> at 26 weeks</w:t>
      </w:r>
      <w:r w:rsidRPr="00DC3950">
        <w:rPr>
          <w:b/>
          <w:sz w:val="18"/>
          <w:szCs w:val="18"/>
        </w:rPr>
        <w:t xml:space="preserve"> would </w:t>
      </w:r>
      <w:r>
        <w:rPr>
          <w:b/>
          <w:sz w:val="18"/>
          <w:szCs w:val="18"/>
        </w:rPr>
        <w:t>be 20 or better</w:t>
      </w:r>
      <w:r w:rsidRPr="00DC3950">
        <w:rPr>
          <w:b/>
          <w:sz w:val="18"/>
          <w:szCs w:val="18"/>
        </w:rPr>
        <w:t xml:space="preserve"> </w:t>
      </w:r>
      <w:r>
        <w:rPr>
          <w:b/>
          <w:sz w:val="18"/>
          <w:szCs w:val="18"/>
        </w:rPr>
        <w:t>(</w:t>
      </w:r>
      <w:r w:rsidRPr="00DC3950">
        <w:rPr>
          <w:b/>
          <w:sz w:val="18"/>
          <w:szCs w:val="18"/>
        </w:rPr>
        <w:t>and a 90% chance the patient’s pain score would be worse than 20</w:t>
      </w:r>
      <w:r>
        <w:rPr>
          <w:b/>
          <w:sz w:val="18"/>
          <w:szCs w:val="18"/>
        </w:rPr>
        <w:t>)</w:t>
      </w:r>
      <w:r w:rsidRPr="00DC3950">
        <w:rPr>
          <w:b/>
          <w:sz w:val="18"/>
          <w:szCs w:val="18"/>
        </w:rPr>
        <w:t xml:space="preserve">. </w:t>
      </w:r>
    </w:p>
    <w:p w14:paraId="5125401C" w14:textId="77777777" w:rsidR="00EE4595" w:rsidRDefault="00EE4595" w:rsidP="00EE4595">
      <w:pPr>
        <w:pStyle w:val="ListParagraph"/>
        <w:numPr>
          <w:ilvl w:val="0"/>
          <w:numId w:val="8"/>
        </w:numPr>
        <w:spacing w:after="360"/>
        <w:ind w:left="357" w:hanging="357"/>
        <w:jc w:val="both"/>
      </w:pPr>
      <w:r>
        <w:t xml:space="preserve">Consider a typical patient presenting at baseline with a pain score of 60mm who will receive </w:t>
      </w:r>
      <w:proofErr w:type="spellStart"/>
      <w:r>
        <w:t>adalimumab</w:t>
      </w:r>
      <w:proofErr w:type="spellEnd"/>
      <w:r>
        <w:t>. Enter in the table below the percentage chance (between 0 – 100) that represents the strength of your belief that this patient would actually have a pain score at 26 weeks lying in each of the intervals provided. The more strongly you believe that the patient’s score would actually lie in a particular interval, the closer to 100 your number should be. If you believe it impossible that the score would lie in a particular interval, then the number should be zero. If you are certain that the score would lie in an interval, the number should be 100. Your scores should all add up to 100.</w:t>
      </w:r>
    </w:p>
    <w:tbl>
      <w:tblPr>
        <w:tblStyle w:val="TableGrid"/>
        <w:tblW w:w="10858" w:type="dxa"/>
        <w:jc w:val="center"/>
        <w:tblInd w:w="-9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567"/>
        <w:gridCol w:w="709"/>
        <w:gridCol w:w="851"/>
        <w:gridCol w:w="850"/>
        <w:gridCol w:w="807"/>
        <w:gridCol w:w="752"/>
        <w:gridCol w:w="851"/>
        <w:gridCol w:w="686"/>
        <w:gridCol w:w="891"/>
        <w:gridCol w:w="891"/>
        <w:gridCol w:w="891"/>
        <w:gridCol w:w="694"/>
      </w:tblGrid>
      <w:tr w:rsidR="00EE4595" w14:paraId="684606A2" w14:textId="77777777" w:rsidTr="003E571F">
        <w:trPr>
          <w:jc w:val="center"/>
        </w:trPr>
        <w:tc>
          <w:tcPr>
            <w:tcW w:w="1418" w:type="dxa"/>
          </w:tcPr>
          <w:p w14:paraId="1D195BF9" w14:textId="77777777" w:rsidR="00EE4595" w:rsidRPr="003733AF" w:rsidRDefault="00EE4595" w:rsidP="003E571F">
            <w:pPr>
              <w:jc w:val="both"/>
              <w:rPr>
                <w:sz w:val="20"/>
                <w:szCs w:val="20"/>
              </w:rPr>
            </w:pPr>
          </w:p>
        </w:tc>
        <w:tc>
          <w:tcPr>
            <w:tcW w:w="5387" w:type="dxa"/>
            <w:gridSpan w:val="7"/>
          </w:tcPr>
          <w:p w14:paraId="70EA2536" w14:textId="77777777" w:rsidR="00EE4595" w:rsidRPr="003733AF" w:rsidRDefault="00EE4595" w:rsidP="003E571F">
            <w:pPr>
              <w:jc w:val="center"/>
              <w:rPr>
                <w:sz w:val="20"/>
                <w:szCs w:val="20"/>
              </w:rPr>
            </w:pPr>
            <w:r w:rsidRPr="003733AF">
              <w:rPr>
                <w:sz w:val="20"/>
                <w:szCs w:val="20"/>
              </w:rPr>
              <w:t>Improvement in pain at 26 weeks compared with baseline</w:t>
            </w:r>
          </w:p>
          <w:p w14:paraId="61A28CF0" w14:textId="77777777" w:rsidR="00EE4595" w:rsidRPr="003733AF" w:rsidRDefault="00EE4595" w:rsidP="003E571F">
            <w:pPr>
              <w:jc w:val="both"/>
              <w:rPr>
                <w:sz w:val="20"/>
                <w:szCs w:val="20"/>
              </w:rPr>
            </w:pPr>
            <w:r>
              <w:rPr>
                <w:noProof/>
                <w:sz w:val="20"/>
                <w:szCs w:val="20"/>
                <w:lang w:val="en-US"/>
              </w:rPr>
              <mc:AlternateContent>
                <mc:Choice Requires="wps">
                  <w:drawing>
                    <wp:anchor distT="0" distB="0" distL="114300" distR="114300" simplePos="0" relativeHeight="251667456" behindDoc="0" locked="0" layoutInCell="1" allowOverlap="1" wp14:anchorId="39054B88" wp14:editId="1B2F7873">
                      <wp:simplePos x="0" y="0"/>
                      <wp:positionH relativeFrom="column">
                        <wp:posOffset>3328035</wp:posOffset>
                      </wp:positionH>
                      <wp:positionV relativeFrom="paragraph">
                        <wp:posOffset>200964</wp:posOffset>
                      </wp:positionV>
                      <wp:extent cx="2447925" cy="0"/>
                      <wp:effectExtent l="0" t="152400" r="0" b="190500"/>
                      <wp:wrapNone/>
                      <wp:docPr id="6" name="Straight Arrow Connector 6"/>
                      <wp:cNvGraphicFramePr/>
                      <a:graphic xmlns:a="http://schemas.openxmlformats.org/drawingml/2006/main">
                        <a:graphicData uri="http://schemas.microsoft.com/office/word/2010/wordprocessingShape">
                          <wps:wsp>
                            <wps:cNvCnPr/>
                            <wps:spPr>
                              <a:xfrm>
                                <a:off x="0" y="0"/>
                                <a:ext cx="2447925" cy="0"/>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62.05pt;margin-top:15.8pt;width:19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" strokecolor="red" strokeweight="4pt">
                      <v:stroke endarrow="open"/>
                    </v:shape>
                  </w:pict>
                </mc:Fallback>
              </mc:AlternateContent>
            </w:r>
            <w:r>
              <w:rPr>
                <w:noProof/>
                <w:sz w:val="20"/>
                <w:szCs w:val="20"/>
                <w:lang w:val="en-US"/>
              </w:rPr>
              <mc:AlternateContent>
                <mc:Choice Requires="wps">
                  <w:drawing>
                    <wp:anchor distT="0" distB="0" distL="114300" distR="114300" simplePos="0" relativeHeight="251668480" behindDoc="0" locked="0" layoutInCell="1" allowOverlap="1" wp14:anchorId="072C97AB" wp14:editId="54C31DF6">
                      <wp:simplePos x="0" y="0"/>
                      <wp:positionH relativeFrom="column">
                        <wp:posOffset>-66675</wp:posOffset>
                      </wp:positionH>
                      <wp:positionV relativeFrom="paragraph">
                        <wp:posOffset>193344</wp:posOffset>
                      </wp:positionV>
                      <wp:extent cx="3251835" cy="0"/>
                      <wp:effectExtent l="38100" t="152400" r="0" b="190500"/>
                      <wp:wrapNone/>
                      <wp:docPr id="7" name="Straight Arrow Connector 7"/>
                      <wp:cNvGraphicFramePr/>
                      <a:graphic xmlns:a="http://schemas.openxmlformats.org/drawingml/2006/main">
                        <a:graphicData uri="http://schemas.microsoft.com/office/word/2010/wordprocessingShape">
                          <wps:wsp>
                            <wps:cNvCnPr/>
                            <wps:spPr>
                              <a:xfrm flipH="1">
                                <a:off x="0" y="0"/>
                                <a:ext cx="3251835" cy="0"/>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5.25pt;margin-top:15.2pt;width:256.0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" strokecolor="#4579b8 [3044]" strokeweight="4pt">
                      <v:stroke endarrow="open"/>
                    </v:shape>
                  </w:pict>
                </mc:Fallback>
              </mc:AlternateContent>
            </w:r>
          </w:p>
        </w:tc>
        <w:tc>
          <w:tcPr>
            <w:tcW w:w="4053" w:type="dxa"/>
            <w:gridSpan w:val="5"/>
          </w:tcPr>
          <w:p w14:paraId="3405CB00" w14:textId="77777777" w:rsidR="00EE4595" w:rsidRDefault="00EE4595" w:rsidP="003E571F">
            <w:pPr>
              <w:jc w:val="center"/>
              <w:rPr>
                <w:sz w:val="20"/>
                <w:szCs w:val="20"/>
              </w:rPr>
            </w:pPr>
            <w:r w:rsidRPr="003733AF">
              <w:rPr>
                <w:sz w:val="20"/>
                <w:szCs w:val="20"/>
              </w:rPr>
              <w:t xml:space="preserve">Worsening of pain </w:t>
            </w:r>
            <w:r>
              <w:rPr>
                <w:sz w:val="20"/>
                <w:szCs w:val="20"/>
              </w:rPr>
              <w:t>at 26 weeks compared</w:t>
            </w:r>
            <w:r w:rsidRPr="003733AF">
              <w:rPr>
                <w:sz w:val="20"/>
                <w:szCs w:val="20"/>
              </w:rPr>
              <w:t xml:space="preserve"> with baseline</w:t>
            </w:r>
          </w:p>
          <w:p w14:paraId="5D49837C" w14:textId="77777777" w:rsidR="00EE4595" w:rsidRPr="003733AF" w:rsidRDefault="00EE4595" w:rsidP="003E571F">
            <w:pPr>
              <w:jc w:val="center"/>
              <w:rPr>
                <w:sz w:val="20"/>
                <w:szCs w:val="20"/>
              </w:rPr>
            </w:pPr>
          </w:p>
        </w:tc>
      </w:tr>
      <w:tr w:rsidR="00EE4595" w14:paraId="4D0263DD" w14:textId="77777777" w:rsidTr="003E571F">
        <w:trPr>
          <w:jc w:val="center"/>
        </w:trPr>
        <w:tc>
          <w:tcPr>
            <w:tcW w:w="1418" w:type="dxa"/>
          </w:tcPr>
          <w:p w14:paraId="617965D7" w14:textId="77777777" w:rsidR="00EE4595" w:rsidRPr="003733AF" w:rsidRDefault="00EE4595" w:rsidP="003E571F">
            <w:pPr>
              <w:rPr>
                <w:sz w:val="20"/>
                <w:szCs w:val="20"/>
              </w:rPr>
            </w:pPr>
            <w:r>
              <w:rPr>
                <w:sz w:val="20"/>
                <w:szCs w:val="20"/>
              </w:rPr>
              <w:t>Final pain score at 26 weeks</w:t>
            </w:r>
          </w:p>
        </w:tc>
        <w:tc>
          <w:tcPr>
            <w:tcW w:w="567" w:type="dxa"/>
          </w:tcPr>
          <w:p w14:paraId="0944E604" w14:textId="77777777" w:rsidR="00EE4595" w:rsidRPr="003733AF" w:rsidRDefault="00EE4595" w:rsidP="003E571F">
            <w:pPr>
              <w:jc w:val="both"/>
              <w:rPr>
                <w:sz w:val="20"/>
                <w:szCs w:val="20"/>
              </w:rPr>
            </w:pPr>
            <w:r w:rsidRPr="003733AF">
              <w:rPr>
                <w:sz w:val="20"/>
                <w:szCs w:val="20"/>
              </w:rPr>
              <w:t>&lt;  5</w:t>
            </w:r>
          </w:p>
        </w:tc>
        <w:tc>
          <w:tcPr>
            <w:tcW w:w="709" w:type="dxa"/>
          </w:tcPr>
          <w:p w14:paraId="3338D310" w14:textId="77777777" w:rsidR="00EE4595" w:rsidRPr="003733AF" w:rsidRDefault="00EE4595" w:rsidP="003E571F">
            <w:pPr>
              <w:jc w:val="both"/>
              <w:rPr>
                <w:sz w:val="20"/>
                <w:szCs w:val="20"/>
              </w:rPr>
            </w:pPr>
            <w:r w:rsidRPr="003733AF">
              <w:rPr>
                <w:sz w:val="20"/>
                <w:szCs w:val="20"/>
              </w:rPr>
              <w:t>5 -10</w:t>
            </w:r>
          </w:p>
        </w:tc>
        <w:tc>
          <w:tcPr>
            <w:tcW w:w="851" w:type="dxa"/>
          </w:tcPr>
          <w:p w14:paraId="2605DBB7" w14:textId="77777777" w:rsidR="00EE4595" w:rsidRPr="003733AF" w:rsidRDefault="00EE4595" w:rsidP="003E571F">
            <w:pPr>
              <w:jc w:val="both"/>
              <w:rPr>
                <w:sz w:val="20"/>
                <w:szCs w:val="20"/>
              </w:rPr>
            </w:pPr>
            <w:r w:rsidRPr="003733AF">
              <w:rPr>
                <w:sz w:val="20"/>
                <w:szCs w:val="20"/>
              </w:rPr>
              <w:t>10-20</w:t>
            </w:r>
          </w:p>
        </w:tc>
        <w:tc>
          <w:tcPr>
            <w:tcW w:w="850" w:type="dxa"/>
          </w:tcPr>
          <w:p w14:paraId="49CAB939" w14:textId="77777777" w:rsidR="00EE4595" w:rsidRPr="003733AF" w:rsidRDefault="00EE4595" w:rsidP="003E571F">
            <w:pPr>
              <w:jc w:val="both"/>
              <w:rPr>
                <w:sz w:val="20"/>
                <w:szCs w:val="20"/>
              </w:rPr>
            </w:pPr>
            <w:r w:rsidRPr="003733AF">
              <w:rPr>
                <w:sz w:val="20"/>
                <w:szCs w:val="20"/>
              </w:rPr>
              <w:t>20-30</w:t>
            </w:r>
          </w:p>
        </w:tc>
        <w:tc>
          <w:tcPr>
            <w:tcW w:w="807" w:type="dxa"/>
          </w:tcPr>
          <w:p w14:paraId="01308CF6" w14:textId="77777777" w:rsidR="00EE4595" w:rsidRPr="003733AF" w:rsidRDefault="00EE4595" w:rsidP="003E571F">
            <w:pPr>
              <w:jc w:val="both"/>
              <w:rPr>
                <w:sz w:val="20"/>
                <w:szCs w:val="20"/>
              </w:rPr>
            </w:pPr>
            <w:r w:rsidRPr="003733AF">
              <w:rPr>
                <w:sz w:val="20"/>
                <w:szCs w:val="20"/>
              </w:rPr>
              <w:t>30-40</w:t>
            </w:r>
          </w:p>
        </w:tc>
        <w:tc>
          <w:tcPr>
            <w:tcW w:w="752" w:type="dxa"/>
          </w:tcPr>
          <w:p w14:paraId="3E9C7742" w14:textId="77777777" w:rsidR="00EE4595" w:rsidRPr="003733AF" w:rsidRDefault="00EE4595" w:rsidP="003E571F">
            <w:pPr>
              <w:jc w:val="both"/>
              <w:rPr>
                <w:sz w:val="20"/>
                <w:szCs w:val="20"/>
              </w:rPr>
            </w:pPr>
            <w:r w:rsidRPr="003733AF">
              <w:rPr>
                <w:sz w:val="20"/>
                <w:szCs w:val="20"/>
              </w:rPr>
              <w:t>40-50</w:t>
            </w:r>
          </w:p>
        </w:tc>
        <w:tc>
          <w:tcPr>
            <w:tcW w:w="851" w:type="dxa"/>
          </w:tcPr>
          <w:p w14:paraId="1397FA2B" w14:textId="77777777" w:rsidR="00EE4595" w:rsidRPr="003733AF" w:rsidRDefault="00EE4595" w:rsidP="003E571F">
            <w:pPr>
              <w:jc w:val="both"/>
              <w:rPr>
                <w:sz w:val="20"/>
                <w:szCs w:val="20"/>
              </w:rPr>
            </w:pPr>
            <w:r w:rsidRPr="003733AF">
              <w:rPr>
                <w:sz w:val="20"/>
                <w:szCs w:val="20"/>
              </w:rPr>
              <w:t>50-60</w:t>
            </w:r>
          </w:p>
        </w:tc>
        <w:tc>
          <w:tcPr>
            <w:tcW w:w="686" w:type="dxa"/>
          </w:tcPr>
          <w:p w14:paraId="486504BC" w14:textId="77777777" w:rsidR="00EE4595" w:rsidRPr="003733AF" w:rsidRDefault="00EE4595" w:rsidP="003E571F">
            <w:pPr>
              <w:jc w:val="both"/>
              <w:rPr>
                <w:sz w:val="20"/>
                <w:szCs w:val="20"/>
              </w:rPr>
            </w:pPr>
            <w:r w:rsidRPr="003733AF">
              <w:rPr>
                <w:sz w:val="20"/>
                <w:szCs w:val="20"/>
              </w:rPr>
              <w:t>60-70</w:t>
            </w:r>
          </w:p>
        </w:tc>
        <w:tc>
          <w:tcPr>
            <w:tcW w:w="891" w:type="dxa"/>
          </w:tcPr>
          <w:p w14:paraId="66737437" w14:textId="77777777" w:rsidR="00EE4595" w:rsidRPr="003733AF" w:rsidRDefault="00EE4595" w:rsidP="003E571F">
            <w:pPr>
              <w:jc w:val="both"/>
              <w:rPr>
                <w:sz w:val="20"/>
                <w:szCs w:val="20"/>
              </w:rPr>
            </w:pPr>
            <w:r w:rsidRPr="003733AF">
              <w:rPr>
                <w:sz w:val="20"/>
                <w:szCs w:val="20"/>
              </w:rPr>
              <w:t>70-80</w:t>
            </w:r>
          </w:p>
        </w:tc>
        <w:tc>
          <w:tcPr>
            <w:tcW w:w="891" w:type="dxa"/>
          </w:tcPr>
          <w:p w14:paraId="763E4C9A" w14:textId="77777777" w:rsidR="00EE4595" w:rsidRPr="003733AF" w:rsidRDefault="00EE4595" w:rsidP="003E571F">
            <w:pPr>
              <w:jc w:val="both"/>
              <w:rPr>
                <w:sz w:val="20"/>
                <w:szCs w:val="20"/>
              </w:rPr>
            </w:pPr>
            <w:r w:rsidRPr="003733AF">
              <w:rPr>
                <w:sz w:val="20"/>
                <w:szCs w:val="20"/>
              </w:rPr>
              <w:t>80-90</w:t>
            </w:r>
          </w:p>
        </w:tc>
        <w:tc>
          <w:tcPr>
            <w:tcW w:w="891" w:type="dxa"/>
          </w:tcPr>
          <w:p w14:paraId="4F0D9BFE" w14:textId="77777777" w:rsidR="00EE4595" w:rsidRPr="003733AF" w:rsidRDefault="00EE4595" w:rsidP="003E571F">
            <w:pPr>
              <w:jc w:val="both"/>
              <w:rPr>
                <w:sz w:val="20"/>
                <w:szCs w:val="20"/>
              </w:rPr>
            </w:pPr>
            <w:r w:rsidRPr="003733AF">
              <w:rPr>
                <w:sz w:val="20"/>
                <w:szCs w:val="20"/>
              </w:rPr>
              <w:t>90-95</w:t>
            </w:r>
          </w:p>
        </w:tc>
        <w:tc>
          <w:tcPr>
            <w:tcW w:w="694" w:type="dxa"/>
          </w:tcPr>
          <w:p w14:paraId="5826366A" w14:textId="77777777" w:rsidR="00EE4595" w:rsidRPr="003733AF" w:rsidRDefault="00EE4595" w:rsidP="003E571F">
            <w:pPr>
              <w:jc w:val="both"/>
              <w:rPr>
                <w:sz w:val="20"/>
                <w:szCs w:val="20"/>
              </w:rPr>
            </w:pPr>
            <w:r w:rsidRPr="003733AF">
              <w:rPr>
                <w:sz w:val="20"/>
                <w:szCs w:val="20"/>
              </w:rPr>
              <w:t>&gt;95</w:t>
            </w:r>
          </w:p>
        </w:tc>
      </w:tr>
      <w:tr w:rsidR="00EE4595" w14:paraId="71877C8F" w14:textId="77777777" w:rsidTr="003E571F">
        <w:trPr>
          <w:jc w:val="center"/>
        </w:trPr>
        <w:tc>
          <w:tcPr>
            <w:tcW w:w="1418" w:type="dxa"/>
          </w:tcPr>
          <w:p w14:paraId="6FBDE994" w14:textId="77777777" w:rsidR="00EE4595" w:rsidRDefault="00EE4595" w:rsidP="003E571F">
            <w:pPr>
              <w:rPr>
                <w:sz w:val="20"/>
                <w:szCs w:val="20"/>
              </w:rPr>
            </w:pPr>
          </w:p>
          <w:p w14:paraId="63B6B9DD" w14:textId="77777777" w:rsidR="00EE4595" w:rsidRPr="003733AF" w:rsidRDefault="00EE4595" w:rsidP="003E571F">
            <w:pPr>
              <w:rPr>
                <w:sz w:val="20"/>
                <w:szCs w:val="20"/>
              </w:rPr>
            </w:pPr>
            <w:r w:rsidRPr="003733AF">
              <w:rPr>
                <w:sz w:val="20"/>
                <w:szCs w:val="20"/>
              </w:rPr>
              <w:t>Your entry</w:t>
            </w:r>
          </w:p>
        </w:tc>
        <w:tc>
          <w:tcPr>
            <w:tcW w:w="567" w:type="dxa"/>
          </w:tcPr>
          <w:p w14:paraId="74055116" w14:textId="77777777" w:rsidR="00EE4595" w:rsidRPr="003733AF" w:rsidRDefault="00EE4595" w:rsidP="003E571F">
            <w:pPr>
              <w:jc w:val="both"/>
              <w:rPr>
                <w:sz w:val="20"/>
                <w:szCs w:val="20"/>
              </w:rPr>
            </w:pPr>
          </w:p>
          <w:p w14:paraId="0B04B839" w14:textId="77777777" w:rsidR="00EE4595" w:rsidRDefault="00EE4595" w:rsidP="003E571F">
            <w:pPr>
              <w:jc w:val="both"/>
              <w:rPr>
                <w:sz w:val="20"/>
                <w:szCs w:val="20"/>
              </w:rPr>
            </w:pPr>
          </w:p>
          <w:p w14:paraId="4F1C26AB" w14:textId="77777777" w:rsidR="00EE4595" w:rsidRPr="003733AF" w:rsidRDefault="00EE4595" w:rsidP="003E571F">
            <w:pPr>
              <w:jc w:val="both"/>
              <w:rPr>
                <w:sz w:val="20"/>
                <w:szCs w:val="20"/>
              </w:rPr>
            </w:pPr>
          </w:p>
        </w:tc>
        <w:tc>
          <w:tcPr>
            <w:tcW w:w="709" w:type="dxa"/>
          </w:tcPr>
          <w:p w14:paraId="06043E4C" w14:textId="77777777" w:rsidR="00EE4595" w:rsidRPr="003733AF" w:rsidRDefault="00EE4595" w:rsidP="003E571F">
            <w:pPr>
              <w:jc w:val="both"/>
              <w:rPr>
                <w:sz w:val="20"/>
                <w:szCs w:val="20"/>
              </w:rPr>
            </w:pPr>
          </w:p>
        </w:tc>
        <w:tc>
          <w:tcPr>
            <w:tcW w:w="851" w:type="dxa"/>
          </w:tcPr>
          <w:p w14:paraId="6BD6AAB8" w14:textId="77777777" w:rsidR="00EE4595" w:rsidRPr="003733AF" w:rsidRDefault="00EE4595" w:rsidP="003E571F">
            <w:pPr>
              <w:jc w:val="both"/>
              <w:rPr>
                <w:sz w:val="20"/>
                <w:szCs w:val="20"/>
              </w:rPr>
            </w:pPr>
          </w:p>
        </w:tc>
        <w:tc>
          <w:tcPr>
            <w:tcW w:w="850" w:type="dxa"/>
          </w:tcPr>
          <w:p w14:paraId="25604F21" w14:textId="77777777" w:rsidR="00EE4595" w:rsidRPr="003733AF" w:rsidRDefault="00EE4595" w:rsidP="003E571F">
            <w:pPr>
              <w:jc w:val="both"/>
              <w:rPr>
                <w:sz w:val="20"/>
                <w:szCs w:val="20"/>
              </w:rPr>
            </w:pPr>
          </w:p>
        </w:tc>
        <w:tc>
          <w:tcPr>
            <w:tcW w:w="807" w:type="dxa"/>
          </w:tcPr>
          <w:p w14:paraId="7AC8693F" w14:textId="77777777" w:rsidR="00EE4595" w:rsidRPr="003733AF" w:rsidRDefault="00EE4595" w:rsidP="003E571F">
            <w:pPr>
              <w:jc w:val="both"/>
              <w:rPr>
                <w:sz w:val="20"/>
                <w:szCs w:val="20"/>
              </w:rPr>
            </w:pPr>
          </w:p>
        </w:tc>
        <w:tc>
          <w:tcPr>
            <w:tcW w:w="752" w:type="dxa"/>
          </w:tcPr>
          <w:p w14:paraId="757A81EE" w14:textId="77777777" w:rsidR="00EE4595" w:rsidRPr="003733AF" w:rsidRDefault="00EE4595" w:rsidP="003E571F">
            <w:pPr>
              <w:jc w:val="both"/>
              <w:rPr>
                <w:sz w:val="20"/>
                <w:szCs w:val="20"/>
              </w:rPr>
            </w:pPr>
          </w:p>
        </w:tc>
        <w:tc>
          <w:tcPr>
            <w:tcW w:w="851" w:type="dxa"/>
          </w:tcPr>
          <w:p w14:paraId="77D784F6" w14:textId="77777777" w:rsidR="00EE4595" w:rsidRPr="003733AF" w:rsidRDefault="00EE4595" w:rsidP="003E571F">
            <w:pPr>
              <w:jc w:val="both"/>
              <w:rPr>
                <w:sz w:val="20"/>
                <w:szCs w:val="20"/>
              </w:rPr>
            </w:pPr>
          </w:p>
        </w:tc>
        <w:tc>
          <w:tcPr>
            <w:tcW w:w="686" w:type="dxa"/>
          </w:tcPr>
          <w:p w14:paraId="2214DB2A" w14:textId="77777777" w:rsidR="00EE4595" w:rsidRPr="003733AF" w:rsidRDefault="00EE4595" w:rsidP="003E571F">
            <w:pPr>
              <w:jc w:val="both"/>
              <w:rPr>
                <w:sz w:val="20"/>
                <w:szCs w:val="20"/>
              </w:rPr>
            </w:pPr>
          </w:p>
        </w:tc>
        <w:tc>
          <w:tcPr>
            <w:tcW w:w="891" w:type="dxa"/>
          </w:tcPr>
          <w:p w14:paraId="15288F3C" w14:textId="77777777" w:rsidR="00EE4595" w:rsidRPr="003733AF" w:rsidRDefault="00EE4595" w:rsidP="003E571F">
            <w:pPr>
              <w:jc w:val="both"/>
              <w:rPr>
                <w:sz w:val="20"/>
                <w:szCs w:val="20"/>
              </w:rPr>
            </w:pPr>
          </w:p>
        </w:tc>
        <w:tc>
          <w:tcPr>
            <w:tcW w:w="891" w:type="dxa"/>
          </w:tcPr>
          <w:p w14:paraId="500BB462" w14:textId="77777777" w:rsidR="00EE4595" w:rsidRPr="003733AF" w:rsidRDefault="00EE4595" w:rsidP="003E571F">
            <w:pPr>
              <w:jc w:val="both"/>
              <w:rPr>
                <w:sz w:val="20"/>
                <w:szCs w:val="20"/>
              </w:rPr>
            </w:pPr>
          </w:p>
        </w:tc>
        <w:tc>
          <w:tcPr>
            <w:tcW w:w="891" w:type="dxa"/>
          </w:tcPr>
          <w:p w14:paraId="6C13E74B" w14:textId="77777777" w:rsidR="00EE4595" w:rsidRPr="003733AF" w:rsidRDefault="00EE4595" w:rsidP="003E571F">
            <w:pPr>
              <w:jc w:val="both"/>
              <w:rPr>
                <w:sz w:val="20"/>
                <w:szCs w:val="20"/>
              </w:rPr>
            </w:pPr>
          </w:p>
        </w:tc>
        <w:tc>
          <w:tcPr>
            <w:tcW w:w="694" w:type="dxa"/>
          </w:tcPr>
          <w:p w14:paraId="529D2454" w14:textId="77777777" w:rsidR="00EE4595" w:rsidRPr="003733AF" w:rsidRDefault="00EE4595" w:rsidP="003E571F">
            <w:pPr>
              <w:jc w:val="both"/>
              <w:rPr>
                <w:sz w:val="20"/>
                <w:szCs w:val="20"/>
              </w:rPr>
            </w:pPr>
          </w:p>
        </w:tc>
      </w:tr>
      <w:tr w:rsidR="00EE4595" w14:paraId="4F5F9E55" w14:textId="77777777" w:rsidTr="003E571F">
        <w:trPr>
          <w:jc w:val="center"/>
        </w:trPr>
        <w:tc>
          <w:tcPr>
            <w:tcW w:w="1418" w:type="dxa"/>
          </w:tcPr>
          <w:p w14:paraId="75C2762D" w14:textId="77777777" w:rsidR="00EE4595" w:rsidRPr="00DC3950" w:rsidRDefault="00EE4595" w:rsidP="003E571F">
            <w:pPr>
              <w:rPr>
                <w:b/>
                <w:sz w:val="20"/>
                <w:szCs w:val="20"/>
              </w:rPr>
            </w:pPr>
            <w:r w:rsidRPr="00DC3950">
              <w:rPr>
                <w:b/>
                <w:sz w:val="20"/>
                <w:szCs w:val="20"/>
              </w:rPr>
              <w:t>Example</w:t>
            </w:r>
          </w:p>
        </w:tc>
        <w:tc>
          <w:tcPr>
            <w:tcW w:w="567" w:type="dxa"/>
          </w:tcPr>
          <w:p w14:paraId="403CA2D8" w14:textId="77777777" w:rsidR="00EE4595" w:rsidRPr="00DC3950" w:rsidRDefault="00EE4595" w:rsidP="003E571F">
            <w:pPr>
              <w:jc w:val="center"/>
              <w:rPr>
                <w:b/>
                <w:sz w:val="20"/>
                <w:szCs w:val="20"/>
              </w:rPr>
            </w:pPr>
            <w:r w:rsidRPr="00DC3950">
              <w:rPr>
                <w:b/>
                <w:sz w:val="20"/>
                <w:szCs w:val="20"/>
              </w:rPr>
              <w:t>0</w:t>
            </w:r>
          </w:p>
        </w:tc>
        <w:tc>
          <w:tcPr>
            <w:tcW w:w="709" w:type="dxa"/>
          </w:tcPr>
          <w:p w14:paraId="7140141A" w14:textId="77777777" w:rsidR="00EE4595" w:rsidRPr="00DC3950" w:rsidRDefault="00EE4595" w:rsidP="003E571F">
            <w:pPr>
              <w:jc w:val="center"/>
              <w:rPr>
                <w:b/>
                <w:sz w:val="20"/>
                <w:szCs w:val="20"/>
              </w:rPr>
            </w:pPr>
            <w:r w:rsidRPr="00DC3950">
              <w:rPr>
                <w:b/>
                <w:sz w:val="20"/>
                <w:szCs w:val="20"/>
              </w:rPr>
              <w:t>0</w:t>
            </w:r>
          </w:p>
        </w:tc>
        <w:tc>
          <w:tcPr>
            <w:tcW w:w="851" w:type="dxa"/>
          </w:tcPr>
          <w:p w14:paraId="42502F44" w14:textId="77777777" w:rsidR="00EE4595" w:rsidRPr="00DC3950" w:rsidRDefault="00EE4595" w:rsidP="003E571F">
            <w:pPr>
              <w:jc w:val="center"/>
              <w:rPr>
                <w:b/>
                <w:sz w:val="20"/>
                <w:szCs w:val="20"/>
              </w:rPr>
            </w:pPr>
            <w:r w:rsidRPr="00DC3950">
              <w:rPr>
                <w:b/>
                <w:sz w:val="20"/>
                <w:szCs w:val="20"/>
              </w:rPr>
              <w:t>0</w:t>
            </w:r>
          </w:p>
        </w:tc>
        <w:tc>
          <w:tcPr>
            <w:tcW w:w="850" w:type="dxa"/>
          </w:tcPr>
          <w:p w14:paraId="19322D6E" w14:textId="77777777" w:rsidR="00EE4595" w:rsidRPr="00DC3950" w:rsidRDefault="00EE4595" w:rsidP="003E571F">
            <w:pPr>
              <w:jc w:val="center"/>
              <w:rPr>
                <w:b/>
                <w:sz w:val="20"/>
                <w:szCs w:val="20"/>
              </w:rPr>
            </w:pPr>
            <w:r w:rsidRPr="00DC3950">
              <w:rPr>
                <w:b/>
                <w:sz w:val="20"/>
                <w:szCs w:val="20"/>
              </w:rPr>
              <w:t>0</w:t>
            </w:r>
          </w:p>
        </w:tc>
        <w:tc>
          <w:tcPr>
            <w:tcW w:w="807" w:type="dxa"/>
          </w:tcPr>
          <w:p w14:paraId="350593C0" w14:textId="77777777" w:rsidR="00EE4595" w:rsidRPr="00DC3950" w:rsidRDefault="00EE4595" w:rsidP="003E571F">
            <w:pPr>
              <w:jc w:val="center"/>
              <w:rPr>
                <w:b/>
                <w:sz w:val="20"/>
                <w:szCs w:val="20"/>
              </w:rPr>
            </w:pPr>
            <w:r w:rsidRPr="00DC3950">
              <w:rPr>
                <w:b/>
                <w:sz w:val="20"/>
                <w:szCs w:val="20"/>
              </w:rPr>
              <w:t>40</w:t>
            </w:r>
          </w:p>
        </w:tc>
        <w:tc>
          <w:tcPr>
            <w:tcW w:w="752" w:type="dxa"/>
          </w:tcPr>
          <w:p w14:paraId="32020ED5" w14:textId="77777777" w:rsidR="00EE4595" w:rsidRPr="00DC3950" w:rsidRDefault="00EE4595" w:rsidP="003E571F">
            <w:pPr>
              <w:jc w:val="center"/>
              <w:rPr>
                <w:b/>
                <w:sz w:val="20"/>
                <w:szCs w:val="20"/>
              </w:rPr>
            </w:pPr>
            <w:r w:rsidRPr="00DC3950">
              <w:rPr>
                <w:b/>
                <w:sz w:val="20"/>
                <w:szCs w:val="20"/>
              </w:rPr>
              <w:t>40</w:t>
            </w:r>
          </w:p>
        </w:tc>
        <w:tc>
          <w:tcPr>
            <w:tcW w:w="851" w:type="dxa"/>
          </w:tcPr>
          <w:p w14:paraId="13FFD24E" w14:textId="77777777" w:rsidR="00EE4595" w:rsidRPr="00DC3950" w:rsidRDefault="00EE4595" w:rsidP="003E571F">
            <w:pPr>
              <w:jc w:val="center"/>
              <w:rPr>
                <w:b/>
                <w:sz w:val="20"/>
                <w:szCs w:val="20"/>
              </w:rPr>
            </w:pPr>
            <w:r w:rsidRPr="00DC3950">
              <w:rPr>
                <w:b/>
                <w:sz w:val="20"/>
                <w:szCs w:val="20"/>
              </w:rPr>
              <w:t>20</w:t>
            </w:r>
          </w:p>
        </w:tc>
        <w:tc>
          <w:tcPr>
            <w:tcW w:w="686" w:type="dxa"/>
          </w:tcPr>
          <w:p w14:paraId="5833B467" w14:textId="77777777" w:rsidR="00EE4595" w:rsidRPr="00DC3950" w:rsidRDefault="00EE4595" w:rsidP="003E571F">
            <w:pPr>
              <w:jc w:val="center"/>
              <w:rPr>
                <w:b/>
                <w:sz w:val="20"/>
                <w:szCs w:val="20"/>
              </w:rPr>
            </w:pPr>
            <w:r w:rsidRPr="00DC3950">
              <w:rPr>
                <w:b/>
                <w:sz w:val="20"/>
                <w:szCs w:val="20"/>
              </w:rPr>
              <w:t>0</w:t>
            </w:r>
          </w:p>
        </w:tc>
        <w:tc>
          <w:tcPr>
            <w:tcW w:w="891" w:type="dxa"/>
          </w:tcPr>
          <w:p w14:paraId="529CCADA" w14:textId="77777777" w:rsidR="00EE4595" w:rsidRPr="00DC3950" w:rsidRDefault="00EE4595" w:rsidP="003E571F">
            <w:pPr>
              <w:jc w:val="center"/>
              <w:rPr>
                <w:b/>
                <w:sz w:val="20"/>
                <w:szCs w:val="20"/>
              </w:rPr>
            </w:pPr>
            <w:r w:rsidRPr="00DC3950">
              <w:rPr>
                <w:b/>
                <w:sz w:val="20"/>
                <w:szCs w:val="20"/>
              </w:rPr>
              <w:t>0</w:t>
            </w:r>
          </w:p>
        </w:tc>
        <w:tc>
          <w:tcPr>
            <w:tcW w:w="891" w:type="dxa"/>
          </w:tcPr>
          <w:p w14:paraId="641EFB90" w14:textId="77777777" w:rsidR="00EE4595" w:rsidRPr="00DC3950" w:rsidRDefault="00EE4595" w:rsidP="003E571F">
            <w:pPr>
              <w:jc w:val="center"/>
              <w:rPr>
                <w:b/>
                <w:sz w:val="20"/>
                <w:szCs w:val="20"/>
              </w:rPr>
            </w:pPr>
            <w:r w:rsidRPr="00DC3950">
              <w:rPr>
                <w:b/>
                <w:sz w:val="20"/>
                <w:szCs w:val="20"/>
              </w:rPr>
              <w:t>0</w:t>
            </w:r>
          </w:p>
        </w:tc>
        <w:tc>
          <w:tcPr>
            <w:tcW w:w="891" w:type="dxa"/>
          </w:tcPr>
          <w:p w14:paraId="13A5B282" w14:textId="77777777" w:rsidR="00EE4595" w:rsidRPr="00DC3950" w:rsidRDefault="00EE4595" w:rsidP="003E571F">
            <w:pPr>
              <w:jc w:val="center"/>
              <w:rPr>
                <w:b/>
                <w:sz w:val="20"/>
                <w:szCs w:val="20"/>
              </w:rPr>
            </w:pPr>
            <w:r w:rsidRPr="00DC3950">
              <w:rPr>
                <w:b/>
                <w:sz w:val="20"/>
                <w:szCs w:val="20"/>
              </w:rPr>
              <w:t>0</w:t>
            </w:r>
          </w:p>
        </w:tc>
        <w:tc>
          <w:tcPr>
            <w:tcW w:w="694" w:type="dxa"/>
          </w:tcPr>
          <w:p w14:paraId="56BDEDFB" w14:textId="77777777" w:rsidR="00EE4595" w:rsidRPr="00DC3950" w:rsidRDefault="00EE4595" w:rsidP="003E571F">
            <w:pPr>
              <w:jc w:val="center"/>
              <w:rPr>
                <w:b/>
                <w:sz w:val="20"/>
                <w:szCs w:val="20"/>
              </w:rPr>
            </w:pPr>
            <w:r w:rsidRPr="00DC3950">
              <w:rPr>
                <w:b/>
                <w:sz w:val="20"/>
                <w:szCs w:val="20"/>
              </w:rPr>
              <w:t>0</w:t>
            </w:r>
          </w:p>
        </w:tc>
      </w:tr>
    </w:tbl>
    <w:p w14:paraId="224A0F27" w14:textId="77777777" w:rsidR="004C5268" w:rsidRDefault="004C5268" w:rsidP="006A48BF">
      <w:pPr>
        <w:jc w:val="both"/>
      </w:pPr>
    </w:p>
    <w:p w14:paraId="0E3410B4" w14:textId="77777777" w:rsidR="004C5268" w:rsidRDefault="004C5268">
      <w:r>
        <w:br w:type="page"/>
      </w:r>
    </w:p>
    <w:p w14:paraId="7E719271" w14:textId="77777777" w:rsidR="004C5268" w:rsidRPr="004C5268" w:rsidRDefault="004C5268" w:rsidP="004C5268">
      <w:pPr>
        <w:rPr>
          <w:b/>
          <w:sz w:val="24"/>
          <w:szCs w:val="24"/>
        </w:rPr>
      </w:pPr>
      <w:r>
        <w:rPr>
          <w:b/>
          <w:sz w:val="24"/>
          <w:szCs w:val="24"/>
        </w:rPr>
        <w:lastRenderedPageBreak/>
        <w:t>Appendix B</w:t>
      </w:r>
      <w:r w:rsidRPr="004C5268">
        <w:rPr>
          <w:b/>
          <w:sz w:val="24"/>
          <w:szCs w:val="24"/>
        </w:rPr>
        <w:t>: Statistical details of the Bayesian procedure</w:t>
      </w:r>
    </w:p>
    <w:p w14:paraId="660BFD13" w14:textId="77777777" w:rsidR="004C5268" w:rsidRPr="00547441" w:rsidRDefault="004C5268" w:rsidP="004C5268">
      <w:pPr>
        <w:rPr>
          <w:b/>
        </w:rPr>
      </w:pPr>
      <w:r>
        <w:rPr>
          <w:b/>
        </w:rPr>
        <w:t>B.1 Bayesian model for the primary outcome</w:t>
      </w:r>
      <w:r w:rsidRPr="00547441">
        <w:rPr>
          <w:b/>
        </w:rPr>
        <w:t>: Change from baseline in pain score at 26 weeks</w:t>
      </w:r>
    </w:p>
    <w:p w14:paraId="74F89DD6" w14:textId="77777777" w:rsidR="004C5268" w:rsidRDefault="004C5268" w:rsidP="004C5268">
      <w:pPr>
        <w:spacing w:after="120"/>
      </w:pPr>
      <w:r>
        <w:t xml:space="preserve">Suppose that n patients are to be recruited into the CRMO trial, with </w:t>
      </w:r>
      <w:proofErr w:type="spellStart"/>
      <w:proofErr w:type="gramStart"/>
      <w:r>
        <w:t>n</w:t>
      </w:r>
      <w:r>
        <w:rPr>
          <w:vertAlign w:val="subscript"/>
        </w:rPr>
        <w:t>A</w:t>
      </w:r>
      <w:proofErr w:type="spellEnd"/>
      <w:proofErr w:type="gramEnd"/>
      <w:r>
        <w:t xml:space="preserve"> receiving treatment A (</w:t>
      </w:r>
      <w:proofErr w:type="spellStart"/>
      <w:r>
        <w:t>adalimumab</w:t>
      </w:r>
      <w:proofErr w:type="spellEnd"/>
      <w:r>
        <w:t xml:space="preserve">) and </w:t>
      </w:r>
      <w:proofErr w:type="spellStart"/>
      <w:r>
        <w:t>n</w:t>
      </w:r>
      <w:r>
        <w:rPr>
          <w:vertAlign w:val="subscript"/>
        </w:rPr>
        <w:t>P</w:t>
      </w:r>
      <w:proofErr w:type="spellEnd"/>
      <w:r>
        <w:t xml:space="preserve"> receiving treatment P (</w:t>
      </w:r>
      <w:proofErr w:type="spellStart"/>
      <w:r>
        <w:t>pamidronate</w:t>
      </w:r>
      <w:proofErr w:type="spellEnd"/>
      <w:r>
        <w:t>). Letting Y</w:t>
      </w:r>
      <w:r w:rsidRPr="00E60D48">
        <w:rPr>
          <w:vertAlign w:val="subscript"/>
        </w:rPr>
        <w:t>i</w:t>
      </w:r>
      <w:r>
        <w:t xml:space="preserve"> denote the primary response of patient </w:t>
      </w:r>
      <w:proofErr w:type="spellStart"/>
      <w:r>
        <w:t>i</w:t>
      </w:r>
      <w:proofErr w:type="spellEnd"/>
      <w:r>
        <w:t xml:space="preserve"> randomised to receive treatment </w:t>
      </w:r>
      <w:proofErr w:type="spellStart"/>
      <w:r>
        <w:t>t</w:t>
      </w:r>
      <w:r w:rsidRPr="00E60D48">
        <w:rPr>
          <w:vertAlign w:val="subscript"/>
        </w:rPr>
        <w:t>i</w:t>
      </w:r>
      <w:proofErr w:type="spellEnd"/>
      <w:r>
        <w:t>, we model</w:t>
      </w:r>
    </w:p>
    <w:p w14:paraId="00CC1614" w14:textId="77777777" w:rsidR="004C5268" w:rsidRPr="00DD354A" w:rsidRDefault="004C5268" w:rsidP="004C5268">
      <w:pPr>
        <w:spacing w:after="120"/>
        <w:jc w:val="center"/>
      </w:pPr>
      <w:r>
        <w:t>Y</w:t>
      </w:r>
      <w:r w:rsidRPr="00E60D48">
        <w:rPr>
          <w:vertAlign w:val="subscript"/>
        </w:rPr>
        <w:t>i</w:t>
      </w:r>
      <w:r>
        <w:t xml:space="preserve"> = </w:t>
      </w:r>
      <w:proofErr w:type="spellStart"/>
      <w:r>
        <w:t>μ</w:t>
      </w:r>
      <w:r>
        <w:rPr>
          <w:vertAlign w:val="subscript"/>
        </w:rPr>
        <w:t>P</w:t>
      </w:r>
      <w:proofErr w:type="spellEnd"/>
      <w:r>
        <w:t xml:space="preserve"> + β</w:t>
      </w:r>
      <w:proofErr w:type="spellStart"/>
      <w:r>
        <w:t>t</w:t>
      </w:r>
      <w:r w:rsidRPr="00E60D48">
        <w:rPr>
          <w:vertAlign w:val="subscript"/>
        </w:rPr>
        <w:t>i</w:t>
      </w:r>
      <w:proofErr w:type="spellEnd"/>
      <w:r>
        <w:t xml:space="preserve"> + </w:t>
      </w:r>
      <w:proofErr w:type="spellStart"/>
      <w:r>
        <w:t>ε</w:t>
      </w:r>
      <w:r w:rsidRPr="00E60D48">
        <w:rPr>
          <w:vertAlign w:val="subscript"/>
        </w:rPr>
        <w:t>i</w:t>
      </w:r>
      <w:proofErr w:type="spellEnd"/>
      <w:r>
        <w:t>,        (1)</w:t>
      </w:r>
    </w:p>
    <w:p w14:paraId="3077B025" w14:textId="77777777" w:rsidR="004C5268" w:rsidRPr="009F6784" w:rsidRDefault="004C5268" w:rsidP="004C5268">
      <w:pPr>
        <w:jc w:val="both"/>
      </w:pPr>
      <w:proofErr w:type="gramStart"/>
      <w:r>
        <w:t>where</w:t>
      </w:r>
      <w:proofErr w:type="gramEnd"/>
      <w:r>
        <w:t xml:space="preserve"> </w:t>
      </w:r>
      <w:proofErr w:type="spellStart"/>
      <w:r>
        <w:t>ε</w:t>
      </w:r>
      <w:r w:rsidRPr="00E60D48">
        <w:rPr>
          <w:vertAlign w:val="subscript"/>
        </w:rPr>
        <w:t>i</w:t>
      </w:r>
      <w:proofErr w:type="spellEnd"/>
      <w:r>
        <w:t xml:space="preserve"> ~ N(0, σ</w:t>
      </w:r>
      <w:r w:rsidRPr="00E60D48">
        <w:rPr>
          <w:vertAlign w:val="superscript"/>
        </w:rPr>
        <w:t>2</w:t>
      </w:r>
      <w:r>
        <w:t xml:space="preserve">), for </w:t>
      </w:r>
      <w:proofErr w:type="spellStart"/>
      <w:r>
        <w:t>i</w:t>
      </w:r>
      <w:proofErr w:type="spellEnd"/>
      <w:r>
        <w:t xml:space="preserve"> = 1, .., n, are independent random errors and </w:t>
      </w:r>
      <w:proofErr w:type="spellStart"/>
      <w:r>
        <w:t>t</w:t>
      </w:r>
      <w:r w:rsidRPr="00DD354A">
        <w:rPr>
          <w:vertAlign w:val="subscript"/>
        </w:rPr>
        <w:t>i</w:t>
      </w:r>
      <w:proofErr w:type="spellEnd"/>
      <w:r>
        <w:t xml:space="preserve"> is an indicator variable taking the value 1 if patient </w:t>
      </w:r>
      <w:proofErr w:type="spellStart"/>
      <w:r>
        <w:t>i</w:t>
      </w:r>
      <w:proofErr w:type="spellEnd"/>
      <w:r>
        <w:t xml:space="preserve"> is randomised to A, and 0 otherwise. Under this model, </w:t>
      </w:r>
      <w:proofErr w:type="spellStart"/>
      <w:r>
        <w:t>μ</w:t>
      </w:r>
      <w:r>
        <w:rPr>
          <w:vertAlign w:val="subscript"/>
        </w:rPr>
        <w:t>P</w:t>
      </w:r>
      <w:proofErr w:type="spellEnd"/>
      <w:r>
        <w:t xml:space="preserve"> represents the expected change in pain score on P, while β can be interpreted as a measure of difference between A and P. Since negative changes imply an improvement in patient health, β will be negative if A is superior to P. Defining </w:t>
      </w:r>
      <w:proofErr w:type="spellStart"/>
      <w:r>
        <w:t>μ</w:t>
      </w:r>
      <w:r>
        <w:rPr>
          <w:vertAlign w:val="subscript"/>
        </w:rPr>
        <w:t>A</w:t>
      </w:r>
      <w:proofErr w:type="spellEnd"/>
      <w:r>
        <w:t xml:space="preserve"> as the expected response on A, we can write β = </w:t>
      </w:r>
      <w:proofErr w:type="spellStart"/>
      <w:r>
        <w:t>μ</w:t>
      </w:r>
      <w:r>
        <w:rPr>
          <w:vertAlign w:val="subscript"/>
        </w:rPr>
        <w:t>A</w:t>
      </w:r>
      <w:proofErr w:type="spellEnd"/>
      <w:r>
        <w:t xml:space="preserve"> – </w:t>
      </w:r>
      <w:proofErr w:type="spellStart"/>
      <w:r>
        <w:t>μ</w:t>
      </w:r>
      <w:r>
        <w:rPr>
          <w:vertAlign w:val="subscript"/>
        </w:rPr>
        <w:t>P</w:t>
      </w:r>
      <w:proofErr w:type="spellEnd"/>
      <w:r>
        <w:t xml:space="preserve">. Furthermore, let </w:t>
      </w:r>
      <w:r>
        <w:sym w:font="Symbol" w:char="F074"/>
      </w:r>
      <w:r>
        <w:t xml:space="preserve"> = σ</w:t>
      </w:r>
      <w:r w:rsidRPr="009F6784">
        <w:rPr>
          <w:vertAlign w:val="superscript"/>
        </w:rPr>
        <w:t>-2</w:t>
      </w:r>
      <w:r>
        <w:t xml:space="preserve">. </w:t>
      </w:r>
    </w:p>
    <w:p w14:paraId="7AAD3BBA" w14:textId="77777777" w:rsidR="004C5268" w:rsidRDefault="004C5268" w:rsidP="004C5268">
      <w:pPr>
        <w:spacing w:after="120"/>
        <w:jc w:val="both"/>
      </w:pPr>
      <w:r>
        <w:t>Prior opinion on the parameters of model (1) will be modelled using conjugate distributions, that is,</w:t>
      </w:r>
    </w:p>
    <w:p w14:paraId="62D9546E" w14:textId="77777777" w:rsidR="004C5268" w:rsidRPr="009F6784" w:rsidRDefault="004C5268" w:rsidP="004C5268">
      <w:pPr>
        <w:spacing w:after="120"/>
        <w:jc w:val="center"/>
        <w:rPr>
          <w:rFonts w:eastAsiaTheme="minorEastAsia"/>
        </w:rPr>
      </w:pPr>
      <m:oMath>
        <m:r>
          <m:rPr>
            <m:sty m:val="bi"/>
          </m:rPr>
          <w:rPr>
            <w:rFonts w:ascii="Cambria Math" w:hAnsi="Cambria Math"/>
          </w:rPr>
          <m:t>η|</m:t>
        </m:r>
        <m:r>
          <w:rPr>
            <w:rFonts w:ascii="Cambria Math" w:hAnsi="Cambria Math"/>
          </w:rPr>
          <m:t xml:space="preserve">τ </m:t>
        </m:r>
        <m:r>
          <m:rPr>
            <m:sty m:val="p"/>
          </m:rPr>
          <w:rPr>
            <w:rFonts w:ascii="Cambria Math" w:hAnsi="Cambria Math"/>
          </w:rPr>
          <m:t>~N(</m:t>
        </m:r>
        <m:sSub>
          <m:sSubPr>
            <m:ctrlPr>
              <w:rPr>
                <w:rFonts w:ascii="Cambria Math" w:hAnsi="Cambria Math"/>
              </w:rPr>
            </m:ctrlPr>
          </m:sSubPr>
          <m:e>
            <m:r>
              <m:rPr>
                <m:sty m:val="bi"/>
              </m:rPr>
              <w:rPr>
                <w:rFonts w:ascii="Cambria Math" w:hAnsi="Cambria Math"/>
              </w:rPr>
              <m:t>η</m:t>
            </m:r>
          </m:e>
          <m:sub>
            <m:r>
              <w:rPr>
                <w:rFonts w:ascii="Cambria Math" w:hAnsi="Cambria Math"/>
              </w:rPr>
              <m:t>0</m:t>
            </m:r>
          </m:sub>
        </m:sSub>
        <m:r>
          <w:rPr>
            <w:rFonts w:ascii="Cambria Math" w:hAnsi="Cambria Math"/>
          </w:rPr>
          <m:t xml:space="preserve">, </m:t>
        </m:r>
        <m:sSup>
          <m:sSupPr>
            <m:ctrlPr>
              <w:rPr>
                <w:rFonts w:ascii="Cambria Math" w:hAnsi="Cambria Math"/>
                <w:i/>
              </w:rPr>
            </m:ctrlPr>
          </m:sSupPr>
          <m:e>
            <m:r>
              <w:rPr>
                <w:rFonts w:ascii="Cambria Math" w:hAnsi="Cambria Math"/>
              </w:rPr>
              <m:t>τ</m:t>
            </m:r>
          </m:e>
          <m:sup>
            <m:r>
              <w:rPr>
                <w:rFonts w:ascii="Cambria Math" w:hAnsi="Cambria Math"/>
              </w:rPr>
              <m:t>-1</m:t>
            </m:r>
          </m:sup>
        </m:sSup>
        <m:r>
          <w:rPr>
            <w:rFonts w:ascii="Cambria Math" w:hAnsi="Cambria Math"/>
          </w:rPr>
          <m:t>R)</m:t>
        </m:r>
      </m:oMath>
      <w:r>
        <w:rPr>
          <w:rFonts w:eastAsiaTheme="minorEastAsia"/>
        </w:rPr>
        <w:t xml:space="preserve">         </w:t>
      </w:r>
      <w:proofErr w:type="gramStart"/>
      <w:r>
        <w:rPr>
          <w:rFonts w:eastAsiaTheme="minorEastAsia"/>
        </w:rPr>
        <w:t>and</w:t>
      </w:r>
      <w:proofErr w:type="gramEnd"/>
      <w:r>
        <w:rPr>
          <w:rFonts w:eastAsiaTheme="minorEastAsia"/>
        </w:rPr>
        <w:t xml:space="preserve">       </w:t>
      </w:r>
      <m:oMath>
        <m:r>
          <w:rPr>
            <w:rFonts w:ascii="Cambria Math" w:eastAsiaTheme="minorEastAsia" w:hAnsi="Cambria Math"/>
          </w:rPr>
          <m:t xml:space="preserve">τ ~ </m:t>
        </m:r>
        <m:r>
          <m:rPr>
            <m:nor/>
          </m:rPr>
          <w:rPr>
            <w:rFonts w:ascii="Cambria Math" w:eastAsiaTheme="minorEastAsia" w:hAnsi="Cambria Math"/>
          </w:rPr>
          <m:t>Ga</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oMath>
      <w:r>
        <w:rPr>
          <w:rFonts w:eastAsiaTheme="minorEastAsia"/>
        </w:rPr>
        <w:t>,               (2)</w:t>
      </w:r>
    </w:p>
    <w:p w14:paraId="4688D9F3" w14:textId="77777777" w:rsidR="004C5268" w:rsidRDefault="004C5268" w:rsidP="004C5268">
      <w:pPr>
        <w:spacing w:after="240"/>
        <w:jc w:val="both"/>
      </w:pPr>
      <w:proofErr w:type="gramStart"/>
      <w:r>
        <w:rPr>
          <w:rFonts w:eastAsiaTheme="minorEastAsia"/>
        </w:rPr>
        <w:t>which</w:t>
      </w:r>
      <w:proofErr w:type="gramEnd"/>
      <w:r>
        <w:rPr>
          <w:rFonts w:eastAsiaTheme="minorEastAsia"/>
        </w:rPr>
        <w:t xml:space="preserve"> implies that conditional prior opinion on </w:t>
      </w:r>
      <w:r w:rsidRPr="00DB0485">
        <w:rPr>
          <w:rFonts w:eastAsiaTheme="minorEastAsia"/>
          <w:b/>
        </w:rPr>
        <w:t>η</w:t>
      </w:r>
      <w:r>
        <w:rPr>
          <w:rFonts w:eastAsiaTheme="minorEastAsia"/>
        </w:rPr>
        <w:t xml:space="preserve"> = (</w:t>
      </w:r>
      <w:proofErr w:type="spellStart"/>
      <w:r>
        <w:t>μ</w:t>
      </w:r>
      <w:r>
        <w:rPr>
          <w:vertAlign w:val="subscript"/>
        </w:rPr>
        <w:t>P</w:t>
      </w:r>
      <w:proofErr w:type="spellEnd"/>
      <w:r>
        <w:t>, β)</w:t>
      </w:r>
      <w:r w:rsidRPr="00DB0485">
        <w:rPr>
          <w:vertAlign w:val="superscript"/>
        </w:rPr>
        <w:t>T</w:t>
      </w:r>
      <w:r>
        <w:t xml:space="preserve"> given </w:t>
      </w:r>
      <w:r>
        <w:sym w:font="Symbol" w:char="F074"/>
      </w:r>
      <w:r>
        <w:t xml:space="preserve"> follows a bivariate normal distribution with mode </w:t>
      </w:r>
      <w:r w:rsidRPr="00DB0485">
        <w:rPr>
          <w:rFonts w:eastAsiaTheme="minorEastAsia"/>
          <w:b/>
        </w:rPr>
        <w:t>η</w:t>
      </w:r>
      <w:r w:rsidRPr="00DB0485">
        <w:rPr>
          <w:rFonts w:eastAsiaTheme="minorEastAsia"/>
          <w:vertAlign w:val="subscript"/>
        </w:rPr>
        <w:t>0</w:t>
      </w:r>
      <w:r>
        <w:rPr>
          <w:rFonts w:eastAsiaTheme="minorEastAsia"/>
        </w:rPr>
        <w:t xml:space="preserve"> = (η</w:t>
      </w:r>
      <w:r w:rsidRPr="00DB0485">
        <w:rPr>
          <w:rFonts w:eastAsiaTheme="minorEastAsia"/>
          <w:vertAlign w:val="subscript"/>
        </w:rPr>
        <w:t>0</w:t>
      </w:r>
      <w:r>
        <w:rPr>
          <w:rFonts w:eastAsiaTheme="minorEastAsia"/>
          <w:vertAlign w:val="subscript"/>
        </w:rPr>
        <w:t>0</w:t>
      </w:r>
      <w:r>
        <w:t xml:space="preserve">, </w:t>
      </w:r>
      <w:r>
        <w:rPr>
          <w:rFonts w:eastAsiaTheme="minorEastAsia"/>
        </w:rPr>
        <w:t>η</w:t>
      </w:r>
      <w:r w:rsidRPr="00DB0485">
        <w:rPr>
          <w:rFonts w:eastAsiaTheme="minorEastAsia"/>
          <w:vertAlign w:val="subscript"/>
        </w:rPr>
        <w:t>0</w:t>
      </w:r>
      <w:r>
        <w:rPr>
          <w:rFonts w:eastAsiaTheme="minorEastAsia"/>
          <w:vertAlign w:val="subscript"/>
        </w:rPr>
        <w:t>1</w:t>
      </w:r>
      <w:r>
        <w:t>)</w:t>
      </w:r>
      <w:r w:rsidRPr="00DB0485">
        <w:rPr>
          <w:vertAlign w:val="superscript"/>
        </w:rPr>
        <w:t>T</w:t>
      </w:r>
      <w:r>
        <w:t xml:space="preserve"> and variance proportional to R, where</w:t>
      </w:r>
    </w:p>
    <w:p w14:paraId="0B1E1EE4" w14:textId="77777777" w:rsidR="004C5268" w:rsidRDefault="004C5268" w:rsidP="004C5268">
      <w:pPr>
        <w:spacing w:after="240"/>
        <w:jc w:val="both"/>
      </w:pPr>
      <m:oMathPara>
        <m:oMath>
          <m:r>
            <w:rPr>
              <w:rFonts w:ascii="Cambria Math" w:hAnsi="Cambria Math"/>
            </w:rPr>
            <m:t xml:space="preserve">R= </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11</m:t>
                        </m:r>
                      </m:sub>
                    </m:sSub>
                  </m:e>
                  <m:e>
                    <m:sSub>
                      <m:sSubPr>
                        <m:ctrlPr>
                          <w:rPr>
                            <w:rFonts w:ascii="Cambria Math" w:hAnsi="Cambria Math"/>
                            <w:i/>
                          </w:rPr>
                        </m:ctrlPr>
                      </m:sSubPr>
                      <m:e>
                        <m:r>
                          <w:rPr>
                            <w:rFonts w:ascii="Cambria Math" w:hAnsi="Cambria Math"/>
                          </w:rPr>
                          <m:t>r</m:t>
                        </m:r>
                      </m:e>
                      <m:sub>
                        <m:r>
                          <w:rPr>
                            <w:rFonts w:ascii="Cambria Math" w:hAnsi="Cambria Math"/>
                          </w:rPr>
                          <m:t>12</m:t>
                        </m:r>
                      </m:sub>
                    </m:sSub>
                  </m:e>
                </m:mr>
                <m:mr>
                  <m:e>
                    <m:sSub>
                      <m:sSubPr>
                        <m:ctrlPr>
                          <w:rPr>
                            <w:rFonts w:ascii="Cambria Math" w:hAnsi="Cambria Math"/>
                            <w:i/>
                          </w:rPr>
                        </m:ctrlPr>
                      </m:sSubPr>
                      <m:e>
                        <m:r>
                          <w:rPr>
                            <w:rFonts w:ascii="Cambria Math" w:hAnsi="Cambria Math"/>
                          </w:rPr>
                          <m:t>r</m:t>
                        </m:r>
                      </m:e>
                      <m:sub>
                        <m:r>
                          <w:rPr>
                            <w:rFonts w:ascii="Cambria Math" w:hAnsi="Cambria Math"/>
                          </w:rPr>
                          <m:t>12</m:t>
                        </m:r>
                      </m:sub>
                    </m:sSub>
                  </m:e>
                  <m:e>
                    <m:sSub>
                      <m:sSubPr>
                        <m:ctrlPr>
                          <w:rPr>
                            <w:rFonts w:ascii="Cambria Math" w:hAnsi="Cambria Math"/>
                            <w:i/>
                          </w:rPr>
                        </m:ctrlPr>
                      </m:sSubPr>
                      <m:e>
                        <m:r>
                          <w:rPr>
                            <w:rFonts w:ascii="Cambria Math" w:hAnsi="Cambria Math"/>
                          </w:rPr>
                          <m:t>r</m:t>
                        </m:r>
                      </m:e>
                      <m:sub>
                        <m:r>
                          <w:rPr>
                            <w:rFonts w:ascii="Cambria Math" w:hAnsi="Cambria Math"/>
                          </w:rPr>
                          <m:t>22</m:t>
                        </m:r>
                      </m:sub>
                    </m:sSub>
                  </m:e>
                </m:mr>
              </m:m>
            </m:e>
          </m:d>
        </m:oMath>
      </m:oMathPara>
    </w:p>
    <w:p w14:paraId="5DABF3F2" w14:textId="2FBDA3DB" w:rsidR="003E571F" w:rsidRPr="003E571F" w:rsidRDefault="004C5268" w:rsidP="004C5268">
      <w:pPr>
        <w:spacing w:after="240"/>
        <w:jc w:val="both"/>
        <w:rPr>
          <w:rFonts w:eastAsiaTheme="minorEastAsia"/>
        </w:rPr>
      </w:pPr>
      <w:r>
        <w:t xml:space="preserve"> </w:t>
      </w:r>
      <w:proofErr w:type="gramStart"/>
      <w:r>
        <w:t>is</w:t>
      </w:r>
      <w:proofErr w:type="gramEnd"/>
      <w:r>
        <w:t xml:space="preserve"> a (2 x 2) symmetric positive-definite matrix. Thus, model (2) can accommodate correlated prior opinion on </w:t>
      </w:r>
      <w:proofErr w:type="spellStart"/>
      <w:r>
        <w:t>μ</w:t>
      </w:r>
      <w:r>
        <w:rPr>
          <w:vertAlign w:val="subscript"/>
        </w:rPr>
        <w:t>P</w:t>
      </w:r>
      <w:proofErr w:type="spellEnd"/>
      <w:r>
        <w:t xml:space="preserve"> and β. Meanwhile, prior opinion on </w:t>
      </w:r>
      <w:r>
        <w:sym w:font="Symbol" w:char="F074"/>
      </w:r>
      <w:r>
        <w:t xml:space="preserve"> is expressed as a Gamma distribution with shape and rate parameters a</w:t>
      </w:r>
      <w:r w:rsidRPr="00DB0485">
        <w:rPr>
          <w:vertAlign w:val="subscript"/>
        </w:rPr>
        <w:t>0</w:t>
      </w:r>
      <w:r>
        <w:t xml:space="preserve"> and b</w:t>
      </w:r>
      <w:r w:rsidRPr="00DB0485">
        <w:rPr>
          <w:vertAlign w:val="subscript"/>
        </w:rPr>
        <w:t>0</w:t>
      </w:r>
      <w:r>
        <w:t xml:space="preserve">. Under this Bayesian model, the marginal prior distribution for </w:t>
      </w:r>
      <m:oMath>
        <m:r>
          <m:rPr>
            <m:sty m:val="bi"/>
          </m:rPr>
          <w:rPr>
            <w:rFonts w:ascii="Cambria Math" w:hAnsi="Cambria Math"/>
          </w:rPr>
          <m:t>η</m:t>
        </m:r>
      </m:oMath>
      <w:r>
        <w:rPr>
          <w:rFonts w:eastAsiaTheme="minorEastAsia"/>
          <w:b/>
        </w:rPr>
        <w:t xml:space="preserve"> </w:t>
      </w:r>
      <w:r>
        <w:rPr>
          <w:rFonts w:eastAsiaTheme="minorEastAsia"/>
        </w:rPr>
        <w:t xml:space="preserve">follows a bivariate Student t-distribution </w:t>
      </w:r>
      <w:proofErr w:type="gramStart"/>
      <w:r>
        <w:rPr>
          <w:rFonts w:eastAsiaTheme="minorEastAsia"/>
        </w:rPr>
        <w:t>St</w:t>
      </w:r>
      <w:r w:rsidRPr="001D7A98">
        <w:rPr>
          <w:rFonts w:eastAsiaTheme="minorEastAsia"/>
          <w:vertAlign w:val="subscript"/>
        </w:rPr>
        <w:t>2</w:t>
      </w:r>
      <w:r>
        <w:rPr>
          <w:rFonts w:eastAsiaTheme="minorEastAsia"/>
        </w:rPr>
        <w:t>(</w:t>
      </w:r>
      <w:proofErr w:type="gramEnd"/>
      <m:oMath>
        <m:sSub>
          <m:sSubPr>
            <m:ctrlPr>
              <w:rPr>
                <w:rFonts w:ascii="Cambria Math" w:hAnsi="Cambria Math"/>
              </w:rPr>
            </m:ctrlPr>
          </m:sSubPr>
          <m:e>
            <m:r>
              <m:rPr>
                <m:sty m:val="bi"/>
              </m:rPr>
              <w:rPr>
                <w:rFonts w:ascii="Cambria Math" w:hAnsi="Cambria Math"/>
              </w:rPr>
              <m:t>η</m:t>
            </m:r>
          </m:e>
          <m:sub>
            <m:r>
              <w:rPr>
                <w:rFonts w:ascii="Cambria Math" w:hAnsi="Cambria Math"/>
              </w:rPr>
              <m:t>0</m:t>
            </m:r>
          </m:sub>
        </m:sSub>
      </m:oMath>
      <w:r w:rsidR="003E571F">
        <w:rPr>
          <w:rFonts w:eastAsiaTheme="minorEastAsia"/>
        </w:rPr>
        <w:t>, a</w:t>
      </w:r>
      <w:r w:rsidRPr="001D7A98">
        <w:rPr>
          <w:rFonts w:eastAsiaTheme="minorEastAsia"/>
          <w:vertAlign w:val="subscript"/>
        </w:rPr>
        <w:t>0</w:t>
      </w:r>
      <w:r>
        <w:rPr>
          <w:rFonts w:eastAsiaTheme="minorEastAsia"/>
        </w:rPr>
        <w:t>R</w:t>
      </w:r>
      <w:r w:rsidR="003E571F" w:rsidRPr="003E571F">
        <w:rPr>
          <w:rFonts w:eastAsiaTheme="minorEastAsia"/>
          <w:vertAlign w:val="superscript"/>
        </w:rPr>
        <w:t>-1</w:t>
      </w:r>
      <w:r w:rsidR="003E571F">
        <w:rPr>
          <w:rFonts w:eastAsiaTheme="minorEastAsia"/>
        </w:rPr>
        <w:t>/b</w:t>
      </w:r>
      <w:r w:rsidRPr="001D7A98">
        <w:rPr>
          <w:rFonts w:eastAsiaTheme="minorEastAsia"/>
          <w:vertAlign w:val="subscript"/>
        </w:rPr>
        <w:t>0</w:t>
      </w:r>
      <w:r>
        <w:rPr>
          <w:rFonts w:eastAsiaTheme="minorEastAsia"/>
        </w:rPr>
        <w:t>, 2a</w:t>
      </w:r>
      <w:r w:rsidRPr="001D7A98">
        <w:rPr>
          <w:rFonts w:eastAsiaTheme="minorEastAsia"/>
          <w:vertAlign w:val="subscript"/>
        </w:rPr>
        <w:t>0</w:t>
      </w:r>
      <w:r>
        <w:rPr>
          <w:rFonts w:eastAsiaTheme="minorEastAsia"/>
        </w:rPr>
        <w:t>), where</w:t>
      </w:r>
      <w:r w:rsidR="003E571F">
        <w:rPr>
          <w:rFonts w:eastAsiaTheme="minorEastAsia"/>
        </w:rPr>
        <w:t xml:space="preserve"> </w:t>
      </w:r>
      <w:proofErr w:type="spellStart"/>
      <w:r w:rsidR="003E571F">
        <w:t>St</w:t>
      </w:r>
      <w:r w:rsidR="003E571F" w:rsidRPr="003E571F">
        <w:rPr>
          <w:vertAlign w:val="subscript"/>
        </w:rPr>
        <w:t>k</w:t>
      </w:r>
      <w:proofErr w:type="spellEnd"/>
      <w:r w:rsidR="003E571F">
        <w:t>(</w:t>
      </w:r>
      <w:r w:rsidR="003E571F" w:rsidRPr="003E571F">
        <w:rPr>
          <w:rFonts w:ascii="Calibri" w:hAnsi="Calibri"/>
          <w:b/>
        </w:rPr>
        <w:t>μ</w:t>
      </w:r>
      <w:r w:rsidR="003E571F">
        <w:t xml:space="preserve">, </w:t>
      </w:r>
      <w:r w:rsidR="003E571F" w:rsidRPr="003E571F">
        <w:rPr>
          <w:rFonts w:ascii="Calibri" w:hAnsi="Calibri"/>
          <w:b/>
        </w:rPr>
        <w:t>λ</w:t>
      </w:r>
      <w:r w:rsidR="003E571F">
        <w:t xml:space="preserve">, </w:t>
      </w:r>
      <w:r w:rsidR="003E571F">
        <w:sym w:font="Symbol" w:char="F072"/>
      </w:r>
      <w:r w:rsidR="003E571F">
        <w:t xml:space="preserve">) </w:t>
      </w:r>
      <w:r>
        <w:rPr>
          <w:rFonts w:eastAsiaTheme="minorEastAsia"/>
        </w:rPr>
        <w:t xml:space="preserve"> </w:t>
      </w:r>
      <w:r w:rsidR="003E571F">
        <w:rPr>
          <w:rFonts w:eastAsiaTheme="minorEastAsia"/>
        </w:rPr>
        <w:t xml:space="preserve">denotes a k-dimensional Student t-distribution with expectation </w:t>
      </w:r>
      <w:r w:rsidR="003E571F" w:rsidRPr="003E571F">
        <w:rPr>
          <w:rFonts w:ascii="Calibri" w:hAnsi="Calibri"/>
          <w:b/>
        </w:rPr>
        <w:t>μ</w:t>
      </w:r>
      <w:r w:rsidR="003E571F">
        <w:rPr>
          <w:rFonts w:ascii="Calibri" w:hAnsi="Calibri"/>
          <w:b/>
        </w:rPr>
        <w:t xml:space="preserve"> </w:t>
      </w:r>
      <w:r w:rsidR="003E571F">
        <w:rPr>
          <w:rFonts w:ascii="Calibri" w:hAnsi="Calibri"/>
        </w:rPr>
        <w:t xml:space="preserve">and variance matrix </w:t>
      </w:r>
      <w:r w:rsidR="003E571F" w:rsidRPr="003E571F">
        <w:rPr>
          <w:rFonts w:ascii="Calibri" w:hAnsi="Calibri"/>
          <w:b/>
        </w:rPr>
        <w:t>λ</w:t>
      </w:r>
      <w:r w:rsidR="003E571F" w:rsidRPr="003E571F">
        <w:rPr>
          <w:rFonts w:ascii="Calibri" w:hAnsi="Calibri"/>
          <w:vertAlign w:val="superscript"/>
        </w:rPr>
        <w:t>-1</w:t>
      </w:r>
      <w:r w:rsidR="003E571F">
        <w:rPr>
          <w:rFonts w:ascii="Calibri" w:hAnsi="Calibri"/>
        </w:rPr>
        <w:t>(</w:t>
      </w:r>
      <w:r w:rsidR="003E571F">
        <w:sym w:font="Symbol" w:char="F072"/>
      </w:r>
      <w:r w:rsidR="003E571F">
        <w:t>/(</w:t>
      </w:r>
      <w:r w:rsidR="003E571F">
        <w:sym w:font="Symbol" w:char="F072"/>
      </w:r>
      <w:r w:rsidR="003E571F">
        <w:t xml:space="preserve">-2)) (p.139, Bernardo JM &amp; Smith AFM, </w:t>
      </w:r>
      <w:r w:rsidR="003E571F" w:rsidRPr="003E571F">
        <w:rPr>
          <w:i/>
        </w:rPr>
        <w:t>Bayesian Theory</w:t>
      </w:r>
      <w:r w:rsidR="003E571F">
        <w:t xml:space="preserve">, 2000, Wiley).  </w:t>
      </w:r>
    </w:p>
    <w:p w14:paraId="47914502" w14:textId="77777777" w:rsidR="004C5268" w:rsidRDefault="004C5268" w:rsidP="004C5268">
      <w:pPr>
        <w:spacing w:after="240"/>
        <w:jc w:val="both"/>
      </w:pPr>
      <w:r>
        <w:t xml:space="preserve">We can characterise the prior opinion on </w:t>
      </w:r>
      <w:r w:rsidRPr="00CD1F3D">
        <w:rPr>
          <w:b/>
        </w:rPr>
        <w:t>η</w:t>
      </w:r>
      <w:r>
        <w:t xml:space="preserve"> and </w:t>
      </w:r>
      <w:r>
        <w:sym w:font="Symbol" w:char="F074"/>
      </w:r>
      <w:r>
        <w:t xml:space="preserve"> by considering the predictive distributions for observations on P and A that model (2) implies. Let X</w:t>
      </w:r>
      <w:r>
        <w:rPr>
          <w:vertAlign w:val="subscript"/>
        </w:rPr>
        <w:t>P</w:t>
      </w:r>
      <w:r>
        <w:t xml:space="preserve"> represent the response of a new patient randomised to P, and let X</w:t>
      </w:r>
      <w:r>
        <w:rPr>
          <w:vertAlign w:val="subscript"/>
        </w:rPr>
        <w:t>A</w:t>
      </w:r>
      <w:r>
        <w:t xml:space="preserve"> represent the response of a new patient randomised to A. Furthermore, let </w:t>
      </w:r>
      <w:proofErr w:type="gramStart"/>
      <w:r>
        <w:t>St(</w:t>
      </w:r>
      <w:proofErr w:type="gramEnd"/>
      <w:r>
        <w:sym w:font="Symbol" w:char="F064"/>
      </w:r>
      <w:r>
        <w:t xml:space="preserve">, </w:t>
      </w:r>
      <w:r>
        <w:sym w:font="Symbol" w:char="F066"/>
      </w:r>
      <w:r>
        <w:t xml:space="preserve">, </w:t>
      </w:r>
      <w:r>
        <w:sym w:font="Symbol" w:char="F072"/>
      </w:r>
      <w:r>
        <w:t xml:space="preserve">) denote a Student t distribution with mode and expectation </w:t>
      </w:r>
      <w:r>
        <w:sym w:font="Symbol" w:char="F064"/>
      </w:r>
      <w:r>
        <w:t xml:space="preserve">; degrees of freedom </w:t>
      </w:r>
      <w:r>
        <w:sym w:font="Symbol" w:char="F072"/>
      </w:r>
      <w:r>
        <w:t xml:space="preserve">; and variance </w:t>
      </w:r>
      <w:r>
        <w:sym w:font="Symbol" w:char="F072"/>
      </w:r>
      <w:r>
        <w:t>/[(</w:t>
      </w:r>
      <w:r>
        <w:sym w:font="Symbol" w:char="F072"/>
      </w:r>
      <w:r>
        <w:t xml:space="preserve"> - 2)</w:t>
      </w:r>
      <w:r>
        <w:sym w:font="Symbol" w:char="F066"/>
      </w:r>
      <w:r>
        <w:t>]. Then, given model (2), it follows that X</w:t>
      </w:r>
      <w:r>
        <w:rPr>
          <w:vertAlign w:val="subscript"/>
        </w:rPr>
        <w:t>P</w:t>
      </w:r>
      <w:r>
        <w:t xml:space="preserve"> and X</w:t>
      </w:r>
      <w:r>
        <w:rPr>
          <w:vertAlign w:val="subscript"/>
        </w:rPr>
        <w:t>A</w:t>
      </w:r>
      <w:r>
        <w:t xml:space="preserve"> have prior predictive distributions X</w:t>
      </w:r>
      <w:r>
        <w:rPr>
          <w:vertAlign w:val="subscript"/>
        </w:rPr>
        <w:t>P</w:t>
      </w:r>
      <w:r>
        <w:t xml:space="preserve"> ~ </w:t>
      </w:r>
      <w:proofErr w:type="gramStart"/>
      <w:r>
        <w:t>St(</w:t>
      </w:r>
      <w:proofErr w:type="gramEnd"/>
      <w:r w:rsidRPr="001A09D5">
        <w:rPr>
          <w:rFonts w:eastAsiaTheme="minorEastAsia"/>
        </w:rPr>
        <w:t>η</w:t>
      </w:r>
      <w:r w:rsidRPr="001A09D5">
        <w:rPr>
          <w:rFonts w:eastAsiaTheme="minorEastAsia"/>
          <w:vertAlign w:val="subscript"/>
        </w:rPr>
        <w:t>00</w:t>
      </w:r>
      <w:r>
        <w:rPr>
          <w:rFonts w:eastAsiaTheme="minorEastAsia"/>
        </w:rPr>
        <w:t xml:space="preserve">, </w:t>
      </w:r>
      <w:r w:rsidRPr="001A09D5">
        <w:rPr>
          <w:rFonts w:eastAsiaTheme="minorEastAsia"/>
        </w:rPr>
        <w:t>a</w:t>
      </w:r>
      <w:r w:rsidRPr="001A09D5">
        <w:rPr>
          <w:rFonts w:eastAsiaTheme="minorEastAsia"/>
          <w:vertAlign w:val="subscript"/>
        </w:rPr>
        <w:t>0</w:t>
      </w:r>
      <w:r>
        <w:rPr>
          <w:rFonts w:eastAsiaTheme="minorEastAsia"/>
        </w:rPr>
        <w:t>[b</w:t>
      </w:r>
      <w:r w:rsidRPr="001A09D5">
        <w:rPr>
          <w:rFonts w:eastAsiaTheme="minorEastAsia"/>
          <w:vertAlign w:val="subscript"/>
        </w:rPr>
        <w:t>0</w:t>
      </w:r>
      <w:r>
        <w:rPr>
          <w:rFonts w:eastAsiaTheme="minorEastAsia"/>
        </w:rPr>
        <w:t>r</w:t>
      </w:r>
      <w:r w:rsidRPr="001A09D5">
        <w:rPr>
          <w:rFonts w:eastAsiaTheme="minorEastAsia"/>
          <w:vertAlign w:val="subscript"/>
        </w:rPr>
        <w:t>11</w:t>
      </w:r>
      <w:r>
        <w:rPr>
          <w:rFonts w:eastAsiaTheme="minorEastAsia"/>
        </w:rPr>
        <w:t>(r</w:t>
      </w:r>
      <w:r w:rsidRPr="001A09D5">
        <w:rPr>
          <w:rFonts w:eastAsiaTheme="minorEastAsia"/>
          <w:vertAlign w:val="subscript"/>
        </w:rPr>
        <w:t>11</w:t>
      </w:r>
      <w:r w:rsidRPr="001A09D5">
        <w:rPr>
          <w:rFonts w:eastAsiaTheme="minorEastAsia"/>
          <w:vertAlign w:val="superscript"/>
        </w:rPr>
        <w:t>-1</w:t>
      </w:r>
      <w:r>
        <w:rPr>
          <w:rFonts w:eastAsiaTheme="minorEastAsia"/>
        </w:rPr>
        <w:t xml:space="preserve"> + 1)]</w:t>
      </w:r>
      <w:r w:rsidRPr="001A09D5">
        <w:rPr>
          <w:rFonts w:eastAsiaTheme="minorEastAsia"/>
          <w:vertAlign w:val="superscript"/>
        </w:rPr>
        <w:t>-1</w:t>
      </w:r>
      <w:r>
        <w:rPr>
          <w:rFonts w:eastAsiaTheme="minorEastAsia"/>
        </w:rPr>
        <w:t>, 2a</w:t>
      </w:r>
      <w:r w:rsidRPr="001A09D5">
        <w:rPr>
          <w:rFonts w:eastAsiaTheme="minorEastAsia"/>
          <w:vertAlign w:val="subscript"/>
        </w:rPr>
        <w:t>0</w:t>
      </w:r>
      <w:r>
        <w:rPr>
          <w:rFonts w:eastAsiaTheme="minorEastAsia"/>
        </w:rPr>
        <w:t xml:space="preserve">) and </w:t>
      </w:r>
      <w:r>
        <w:t>X</w:t>
      </w:r>
      <w:r>
        <w:rPr>
          <w:vertAlign w:val="subscript"/>
        </w:rPr>
        <w:t>A</w:t>
      </w:r>
      <w:r>
        <w:t xml:space="preserve"> ~ St(</w:t>
      </w:r>
      <w:r>
        <w:rPr>
          <w:rFonts w:eastAsiaTheme="minorEastAsia"/>
        </w:rPr>
        <w:t>η</w:t>
      </w:r>
      <w:r w:rsidRPr="00DB0485">
        <w:rPr>
          <w:rFonts w:eastAsiaTheme="minorEastAsia"/>
          <w:vertAlign w:val="subscript"/>
        </w:rPr>
        <w:t>0</w:t>
      </w:r>
      <w:r>
        <w:rPr>
          <w:rFonts w:eastAsiaTheme="minorEastAsia"/>
          <w:vertAlign w:val="subscript"/>
        </w:rPr>
        <w:t xml:space="preserve">0 </w:t>
      </w:r>
      <w:r>
        <w:rPr>
          <w:rFonts w:eastAsiaTheme="minorEastAsia"/>
        </w:rPr>
        <w:t>+ η</w:t>
      </w:r>
      <w:r w:rsidRPr="00DB0485">
        <w:rPr>
          <w:rFonts w:eastAsiaTheme="minorEastAsia"/>
          <w:vertAlign w:val="subscript"/>
        </w:rPr>
        <w:t>0</w:t>
      </w:r>
      <w:r>
        <w:rPr>
          <w:rFonts w:eastAsiaTheme="minorEastAsia"/>
          <w:vertAlign w:val="subscript"/>
        </w:rPr>
        <w:t>1</w:t>
      </w:r>
      <w:r>
        <w:rPr>
          <w:rFonts w:eastAsiaTheme="minorEastAsia"/>
        </w:rPr>
        <w:t>, a</w:t>
      </w:r>
      <w:r w:rsidRPr="001A09D5">
        <w:rPr>
          <w:rFonts w:eastAsiaTheme="minorEastAsia"/>
          <w:vertAlign w:val="subscript"/>
        </w:rPr>
        <w:t>0</w:t>
      </w:r>
      <w:r>
        <w:rPr>
          <w:rFonts w:eastAsiaTheme="minorEastAsia"/>
        </w:rPr>
        <w:t>[zb</w:t>
      </w:r>
      <w:r w:rsidRPr="001A09D5">
        <w:rPr>
          <w:rFonts w:eastAsiaTheme="minorEastAsia"/>
          <w:vertAlign w:val="subscript"/>
        </w:rPr>
        <w:t>0</w:t>
      </w:r>
      <w:r>
        <w:rPr>
          <w:rFonts w:eastAsiaTheme="minorEastAsia"/>
          <w:vertAlign w:val="subscript"/>
        </w:rPr>
        <w:t xml:space="preserve"> </w:t>
      </w:r>
      <w:r>
        <w:rPr>
          <w:rFonts w:eastAsiaTheme="minorEastAsia"/>
        </w:rPr>
        <w:t>(z</w:t>
      </w:r>
      <w:r w:rsidRPr="001A09D5">
        <w:rPr>
          <w:rFonts w:eastAsiaTheme="minorEastAsia"/>
          <w:vertAlign w:val="superscript"/>
        </w:rPr>
        <w:t>-1</w:t>
      </w:r>
      <w:r>
        <w:rPr>
          <w:rFonts w:eastAsiaTheme="minorEastAsia"/>
        </w:rPr>
        <w:t xml:space="preserve"> + 1)]</w:t>
      </w:r>
      <w:r w:rsidRPr="001A09D5">
        <w:rPr>
          <w:rFonts w:eastAsiaTheme="minorEastAsia"/>
          <w:vertAlign w:val="superscript"/>
        </w:rPr>
        <w:t>-1</w:t>
      </w:r>
      <w:r>
        <w:rPr>
          <w:rFonts w:eastAsiaTheme="minorEastAsia"/>
        </w:rPr>
        <w:t>, 2a</w:t>
      </w:r>
      <w:r w:rsidRPr="001A09D5">
        <w:rPr>
          <w:rFonts w:eastAsiaTheme="minorEastAsia"/>
          <w:vertAlign w:val="subscript"/>
        </w:rPr>
        <w:t>0</w:t>
      </w:r>
      <w:r>
        <w:rPr>
          <w:rFonts w:eastAsiaTheme="minorEastAsia"/>
        </w:rPr>
        <w:t>), where z = r</w:t>
      </w:r>
      <w:r w:rsidRPr="00691744">
        <w:rPr>
          <w:rFonts w:eastAsiaTheme="minorEastAsia"/>
          <w:vertAlign w:val="subscript"/>
        </w:rPr>
        <w:t>11</w:t>
      </w:r>
      <w:r>
        <w:rPr>
          <w:rFonts w:eastAsiaTheme="minorEastAsia"/>
        </w:rPr>
        <w:t xml:space="preserve"> + r</w:t>
      </w:r>
      <w:r w:rsidRPr="00691744">
        <w:rPr>
          <w:rFonts w:eastAsiaTheme="minorEastAsia"/>
          <w:vertAlign w:val="subscript"/>
        </w:rPr>
        <w:t>22</w:t>
      </w:r>
      <w:r>
        <w:rPr>
          <w:rFonts w:eastAsiaTheme="minorEastAsia"/>
        </w:rPr>
        <w:t xml:space="preserve"> + 2r</w:t>
      </w:r>
      <w:r w:rsidRPr="00691744">
        <w:rPr>
          <w:rFonts w:eastAsiaTheme="minorEastAsia"/>
          <w:vertAlign w:val="subscript"/>
        </w:rPr>
        <w:t>12</w:t>
      </w:r>
      <w:r>
        <w:t xml:space="preserve">. </w:t>
      </w:r>
    </w:p>
    <w:p w14:paraId="2B1148CD" w14:textId="77777777" w:rsidR="004C5268" w:rsidRPr="00547441" w:rsidRDefault="004C5268" w:rsidP="004C5268">
      <w:pPr>
        <w:rPr>
          <w:b/>
        </w:rPr>
      </w:pPr>
      <w:r>
        <w:rPr>
          <w:b/>
        </w:rPr>
        <w:t>B.2 Deriving posterior distributions for model parameters</w:t>
      </w:r>
    </w:p>
    <w:p w14:paraId="5122A99A" w14:textId="6D32F763" w:rsidR="004C5268" w:rsidRDefault="004C5268" w:rsidP="004C5268">
      <w:pPr>
        <w:spacing w:after="240"/>
        <w:jc w:val="both"/>
      </w:pPr>
      <w:r>
        <w:rPr>
          <w:rFonts w:eastAsiaTheme="minorEastAsia"/>
        </w:rPr>
        <w:t xml:space="preserve">We collect data </w:t>
      </w:r>
      <w:r w:rsidRPr="00D73F75">
        <w:rPr>
          <w:rFonts w:eastAsiaTheme="minorEastAsia"/>
          <w:b/>
        </w:rPr>
        <w:t>Y</w:t>
      </w:r>
      <w:r>
        <w:rPr>
          <w:rFonts w:eastAsiaTheme="minorEastAsia"/>
        </w:rPr>
        <w:t>|</w:t>
      </w:r>
      <m:oMath>
        <m:r>
          <m:rPr>
            <m:sty m:val="bi"/>
          </m:rPr>
          <w:rPr>
            <w:rFonts w:ascii="Cambria Math" w:hAnsi="Cambria Math"/>
          </w:rPr>
          <m:t>η</m:t>
        </m:r>
      </m:oMath>
      <w:r>
        <w:rPr>
          <w:rFonts w:eastAsiaTheme="minorEastAsia"/>
          <w:b/>
        </w:rPr>
        <w:t xml:space="preserve">, </w:t>
      </w:r>
      <w:r>
        <w:sym w:font="Symbol" w:char="F074"/>
      </w:r>
      <w:r>
        <w:t xml:space="preserve"> ~ </w:t>
      </w:r>
      <w:proofErr w:type="gramStart"/>
      <w:r>
        <w:t>N(</w:t>
      </w:r>
      <w:proofErr w:type="gramEnd"/>
      <w:r>
        <w:t>t</w:t>
      </w:r>
      <m:oMath>
        <m:r>
          <m:rPr>
            <m:sty m:val="bi"/>
          </m:rPr>
          <w:rPr>
            <w:rFonts w:ascii="Cambria Math" w:hAnsi="Cambria Math"/>
          </w:rPr>
          <m:t xml:space="preserve"> η</m:t>
        </m:r>
      </m:oMath>
      <w:r>
        <w:rPr>
          <w:rFonts w:eastAsiaTheme="minorEastAsia"/>
          <w:b/>
        </w:rPr>
        <w:t xml:space="preserve">, </w:t>
      </w:r>
      <m:oMath>
        <m:sSup>
          <m:sSupPr>
            <m:ctrlPr>
              <w:rPr>
                <w:rFonts w:ascii="Cambria Math" w:hAnsi="Cambria Math"/>
                <w:i/>
              </w:rPr>
            </m:ctrlPr>
          </m:sSupPr>
          <m:e>
            <m:r>
              <w:rPr>
                <w:rFonts w:ascii="Cambria Math" w:hAnsi="Cambria Math"/>
              </w:rPr>
              <m:t>τ</m:t>
            </m:r>
          </m:e>
          <m:sup>
            <m:r>
              <w:rPr>
                <w:rFonts w:ascii="Cambria Math" w:hAnsi="Cambria Math"/>
              </w:rPr>
              <m:t>-1</m:t>
            </m:r>
          </m:sup>
        </m:sSup>
      </m:oMath>
      <w:proofErr w:type="spellStart"/>
      <w:r>
        <w:rPr>
          <w:rFonts w:eastAsiaTheme="minorEastAsia"/>
        </w:rPr>
        <w:t>I</w:t>
      </w:r>
      <w:r w:rsidRPr="00D73F75">
        <w:rPr>
          <w:rFonts w:eastAsiaTheme="minorEastAsia"/>
          <w:vertAlign w:val="subscript"/>
        </w:rPr>
        <w:t>nxn</w:t>
      </w:r>
      <w:proofErr w:type="spellEnd"/>
      <w:r>
        <w:rPr>
          <w:rFonts w:eastAsiaTheme="minorEastAsia"/>
        </w:rPr>
        <w:t xml:space="preserve">), where t is an (n x 2) design matrix consistent with model (1) and the scenario that </w:t>
      </w:r>
      <w:r w:rsidR="00435A3F">
        <w:rPr>
          <w:rFonts w:eastAsiaTheme="minorEastAsia"/>
        </w:rPr>
        <w:t xml:space="preserve">n/2 </w:t>
      </w:r>
      <w:r>
        <w:t>patients are randomised</w:t>
      </w:r>
      <w:r w:rsidR="00435A3F">
        <w:t xml:space="preserve"> to </w:t>
      </w:r>
      <w:r>
        <w:t>treatment A and</w:t>
      </w:r>
      <w:r w:rsidR="00435A3F">
        <w:t xml:space="preserve"> n/2 are randomised to</w:t>
      </w:r>
      <w:r>
        <w:t xml:space="preserve"> treatment P. Suppose we observe</w:t>
      </w:r>
      <w:r>
        <w:rPr>
          <w:b/>
        </w:rPr>
        <w:t xml:space="preserve"> Y = y</w:t>
      </w:r>
      <w:r>
        <w:t>. Then, posterior distributions for the model parameters are:</w:t>
      </w:r>
    </w:p>
    <w:p w14:paraId="39D15D93" w14:textId="77777777" w:rsidR="004C5268" w:rsidRDefault="004C5268" w:rsidP="004C5268">
      <w:pPr>
        <w:spacing w:after="240"/>
        <w:jc w:val="both"/>
        <w:rPr>
          <w:rFonts w:eastAsiaTheme="minorEastAsia"/>
        </w:rPr>
      </w:pPr>
      <m:oMath>
        <m:r>
          <m:rPr>
            <m:sty m:val="bi"/>
          </m:rPr>
          <w:rPr>
            <w:rFonts w:ascii="Cambria Math" w:hAnsi="Cambria Math"/>
          </w:rPr>
          <m:t>η</m:t>
        </m:r>
      </m:oMath>
      <w:r>
        <w:rPr>
          <w:rFonts w:eastAsiaTheme="minorEastAsia"/>
          <w:b/>
        </w:rPr>
        <w:t>|</w:t>
      </w:r>
      <w:proofErr w:type="gramStart"/>
      <w:r>
        <w:rPr>
          <w:rFonts w:eastAsiaTheme="minorEastAsia"/>
          <w:b/>
        </w:rPr>
        <w:t>y</w:t>
      </w:r>
      <w:proofErr w:type="gramEnd"/>
      <w:r>
        <w:rPr>
          <w:rFonts w:eastAsiaTheme="minorEastAsia"/>
        </w:rPr>
        <w:t xml:space="preserve">, </w:t>
      </w:r>
      <w:r>
        <w:sym w:font="Symbol" w:char="F074"/>
      </w:r>
      <w:r>
        <w:t xml:space="preserve"> ~ N( (</w:t>
      </w:r>
      <w:proofErr w:type="spellStart"/>
      <w:r>
        <w:t>t</w:t>
      </w:r>
      <w:r w:rsidRPr="00D73F75">
        <w:rPr>
          <w:vertAlign w:val="superscript"/>
        </w:rPr>
        <w:t>T</w:t>
      </w:r>
      <w:r>
        <w:t>t</w:t>
      </w:r>
      <w:proofErr w:type="spellEnd"/>
      <w:r>
        <w:t xml:space="preserve"> + R</w:t>
      </w:r>
      <w:r w:rsidRPr="00D73F75">
        <w:rPr>
          <w:vertAlign w:val="superscript"/>
        </w:rPr>
        <w:t>-1</w:t>
      </w:r>
      <w:r>
        <w:t>)</w:t>
      </w:r>
      <w:r w:rsidRPr="00D73F75">
        <w:rPr>
          <w:vertAlign w:val="superscript"/>
        </w:rPr>
        <w:t>-1</w:t>
      </w:r>
      <w:r>
        <w:t>(</w:t>
      </w:r>
      <w:proofErr w:type="spellStart"/>
      <w:r>
        <w:t>t</w:t>
      </w:r>
      <w:r w:rsidRPr="00D73F75">
        <w:rPr>
          <w:vertAlign w:val="superscript"/>
        </w:rPr>
        <w:t>T</w:t>
      </w:r>
      <w:r w:rsidRPr="00D73F75">
        <w:rPr>
          <w:b/>
        </w:rPr>
        <w:t>y</w:t>
      </w:r>
      <w:proofErr w:type="spellEnd"/>
      <w:r>
        <w:t xml:space="preserve"> + R</w:t>
      </w:r>
      <w:r w:rsidRPr="00D73F75">
        <w:rPr>
          <w:vertAlign w:val="superscript"/>
        </w:rPr>
        <w:t>-1</w:t>
      </w:r>
      <w:r>
        <w:t xml:space="preserve"> </w:t>
      </w:r>
      <m:oMath>
        <m:r>
          <m:rPr>
            <m:sty m:val="bi"/>
          </m:rPr>
          <w:rPr>
            <w:rFonts w:ascii="Cambria Math" w:hAnsi="Cambria Math"/>
          </w:rPr>
          <m:t>η</m:t>
        </m:r>
      </m:oMath>
      <w:r w:rsidRPr="00D73F75">
        <w:rPr>
          <w:rFonts w:eastAsiaTheme="minorEastAsia"/>
          <w:vertAlign w:val="subscript"/>
        </w:rPr>
        <w:t>0</w:t>
      </w:r>
      <w:r>
        <w:rPr>
          <w:rFonts w:eastAsiaTheme="minorEastAsia"/>
          <w:b/>
        </w:rPr>
        <w:t xml:space="preserve">), </w:t>
      </w:r>
      <m:oMath>
        <m:sSup>
          <m:sSupPr>
            <m:ctrlPr>
              <w:rPr>
                <w:rFonts w:ascii="Cambria Math" w:hAnsi="Cambria Math"/>
                <w:i/>
              </w:rPr>
            </m:ctrlPr>
          </m:sSupPr>
          <m:e>
            <m:r>
              <w:rPr>
                <w:rFonts w:ascii="Cambria Math" w:hAnsi="Cambria Math"/>
              </w:rPr>
              <m:t>τ</m:t>
            </m:r>
          </m:e>
          <m:sup>
            <m:r>
              <w:rPr>
                <w:rFonts w:ascii="Cambria Math" w:hAnsi="Cambria Math"/>
              </w:rPr>
              <m:t>-1</m:t>
            </m:r>
          </m:sup>
        </m:sSup>
      </m:oMath>
      <w:r>
        <w:rPr>
          <w:rFonts w:eastAsiaTheme="minorEastAsia"/>
        </w:rPr>
        <w:t>(</w:t>
      </w:r>
      <w:proofErr w:type="spellStart"/>
      <w:r>
        <w:rPr>
          <w:rFonts w:eastAsiaTheme="minorEastAsia"/>
        </w:rPr>
        <w:t>t</w:t>
      </w:r>
      <w:r w:rsidRPr="00D73F75">
        <w:rPr>
          <w:rFonts w:eastAsiaTheme="minorEastAsia"/>
          <w:vertAlign w:val="superscript"/>
        </w:rPr>
        <w:t>T</w:t>
      </w:r>
      <w:r>
        <w:rPr>
          <w:rFonts w:eastAsiaTheme="minorEastAsia"/>
        </w:rPr>
        <w:t>t</w:t>
      </w:r>
      <w:proofErr w:type="spellEnd"/>
      <w:r>
        <w:rPr>
          <w:rFonts w:eastAsiaTheme="minorEastAsia"/>
        </w:rPr>
        <w:t xml:space="preserve"> + R</w:t>
      </w:r>
      <w:r w:rsidRPr="00D73F75">
        <w:rPr>
          <w:rFonts w:eastAsiaTheme="minorEastAsia"/>
          <w:vertAlign w:val="superscript"/>
        </w:rPr>
        <w:t>-1</w:t>
      </w:r>
      <w:r>
        <w:rPr>
          <w:rFonts w:eastAsiaTheme="minorEastAsia"/>
        </w:rPr>
        <w:t>)</w:t>
      </w:r>
      <w:r w:rsidRPr="00D73F75">
        <w:rPr>
          <w:rFonts w:eastAsiaTheme="minorEastAsia"/>
          <w:vertAlign w:val="superscript"/>
        </w:rPr>
        <w:t>-1</w:t>
      </w:r>
      <w:r>
        <w:rPr>
          <w:rFonts w:eastAsiaTheme="minorEastAsia"/>
        </w:rPr>
        <w:t>)</w:t>
      </w:r>
    </w:p>
    <w:p w14:paraId="2FFFA812" w14:textId="77777777" w:rsidR="004C5268" w:rsidRDefault="004C5268" w:rsidP="004C5268">
      <w:pPr>
        <w:spacing w:after="240"/>
        <w:jc w:val="both"/>
        <w:rPr>
          <w:rFonts w:eastAsiaTheme="minorEastAsia"/>
        </w:rPr>
      </w:pPr>
      <w:r>
        <w:lastRenderedPageBreak/>
        <w:sym w:font="Symbol" w:char="F074"/>
      </w:r>
      <w:r>
        <w:t>|</w:t>
      </w:r>
      <w:proofErr w:type="gramStart"/>
      <w:r w:rsidRPr="00901A48">
        <w:rPr>
          <w:b/>
        </w:rPr>
        <w:t>y</w:t>
      </w:r>
      <w:proofErr w:type="gramEnd"/>
      <w:r>
        <w:t xml:space="preserve"> ~ Gamma(n/2 + a</w:t>
      </w:r>
      <w:r w:rsidRPr="00901A48">
        <w:rPr>
          <w:vertAlign w:val="subscript"/>
        </w:rPr>
        <w:t>0</w:t>
      </w:r>
      <w:r>
        <w:t>, b</w:t>
      </w:r>
      <w:r w:rsidRPr="00901A48">
        <w:rPr>
          <w:vertAlign w:val="subscript"/>
        </w:rPr>
        <w:t>0</w:t>
      </w:r>
      <w:r>
        <w:t xml:space="preserve"> + 0.5*(</w:t>
      </w:r>
      <w:proofErr w:type="spellStart"/>
      <w:r w:rsidRPr="00901A48">
        <w:rPr>
          <w:b/>
        </w:rPr>
        <w:t>y</w:t>
      </w:r>
      <w:r w:rsidRPr="00901A48">
        <w:rPr>
          <w:vertAlign w:val="superscript"/>
        </w:rPr>
        <w:t>T</w:t>
      </w:r>
      <w:r w:rsidRPr="00901A48">
        <w:rPr>
          <w:b/>
        </w:rPr>
        <w:t>y</w:t>
      </w:r>
      <w:proofErr w:type="spellEnd"/>
      <w:r>
        <w:t xml:space="preserve"> + </w:t>
      </w:r>
      <m:oMath>
        <m:sSubSup>
          <m:sSubSupPr>
            <m:ctrlPr>
              <w:rPr>
                <w:rFonts w:ascii="Cambria Math" w:hAnsi="Cambria Math"/>
                <w:i/>
              </w:rPr>
            </m:ctrlPr>
          </m:sSubSupPr>
          <m:e>
            <m:r>
              <m:rPr>
                <m:sty m:val="bi"/>
              </m:rPr>
              <w:rPr>
                <w:rFonts w:ascii="Cambria Math" w:hAnsi="Cambria Math"/>
              </w:rPr>
              <m:t>η</m:t>
            </m:r>
          </m:e>
          <m:sub>
            <m:r>
              <w:rPr>
                <w:rFonts w:ascii="Cambria Math" w:hAnsi="Cambria Math"/>
              </w:rPr>
              <m:t>0</m:t>
            </m:r>
          </m:sub>
          <m:sup>
            <m:r>
              <w:rPr>
                <w:rFonts w:ascii="Cambria Math" w:hAnsi="Cambria Math"/>
              </w:rPr>
              <m:t>T</m:t>
            </m:r>
          </m:sup>
        </m:sSubSup>
      </m:oMath>
      <w:r>
        <w:rPr>
          <w:rFonts w:eastAsiaTheme="minorEastAsia"/>
        </w:rPr>
        <w:t>R</w:t>
      </w:r>
      <w:r w:rsidRPr="00901A48">
        <w:rPr>
          <w:rFonts w:eastAsiaTheme="minorEastAsia"/>
          <w:vertAlign w:val="superscript"/>
        </w:rPr>
        <w:t>-1</w:t>
      </w:r>
      <m:oMath>
        <m:r>
          <m:rPr>
            <m:sty m:val="bi"/>
          </m:rPr>
          <w:rPr>
            <w:rFonts w:ascii="Cambria Math" w:hAnsi="Cambria Math"/>
          </w:rPr>
          <m:t xml:space="preserve"> η</m:t>
        </m:r>
      </m:oMath>
      <w:r w:rsidRPr="00D73F75">
        <w:rPr>
          <w:rFonts w:eastAsiaTheme="minorEastAsia"/>
          <w:vertAlign w:val="subscript"/>
        </w:rPr>
        <w:t>0</w:t>
      </w:r>
      <w:r>
        <w:rPr>
          <w:rFonts w:eastAsiaTheme="minorEastAsia"/>
        </w:rPr>
        <w:t xml:space="preserve"> – (</w:t>
      </w:r>
      <w:proofErr w:type="spellStart"/>
      <w:r>
        <w:rPr>
          <w:rFonts w:eastAsiaTheme="minorEastAsia"/>
        </w:rPr>
        <w:t>t</w:t>
      </w:r>
      <w:r w:rsidRPr="00901A48">
        <w:rPr>
          <w:rFonts w:eastAsiaTheme="minorEastAsia"/>
          <w:vertAlign w:val="superscript"/>
        </w:rPr>
        <w:t>T</w:t>
      </w:r>
      <w:r w:rsidRPr="00901A48">
        <w:rPr>
          <w:rFonts w:eastAsiaTheme="minorEastAsia"/>
          <w:b/>
        </w:rPr>
        <w:t>y</w:t>
      </w:r>
      <w:proofErr w:type="spellEnd"/>
      <w:r>
        <w:rPr>
          <w:rFonts w:eastAsiaTheme="minorEastAsia"/>
        </w:rPr>
        <w:t xml:space="preserve"> + R</w:t>
      </w:r>
      <w:r w:rsidRPr="00901A48">
        <w:rPr>
          <w:rFonts w:eastAsiaTheme="minorEastAsia"/>
          <w:vertAlign w:val="superscript"/>
        </w:rPr>
        <w:t>-1</w:t>
      </w:r>
      <m:oMath>
        <m:r>
          <m:rPr>
            <m:sty m:val="bi"/>
          </m:rPr>
          <w:rPr>
            <w:rFonts w:ascii="Cambria Math" w:hAnsi="Cambria Math"/>
          </w:rPr>
          <m:t>η</m:t>
        </m:r>
      </m:oMath>
      <w:r w:rsidRPr="00D73F75">
        <w:rPr>
          <w:rFonts w:eastAsiaTheme="minorEastAsia"/>
          <w:vertAlign w:val="subscript"/>
        </w:rPr>
        <w:t>0</w:t>
      </w:r>
      <w:r>
        <w:rPr>
          <w:rFonts w:eastAsiaTheme="minorEastAsia"/>
        </w:rPr>
        <w:t>)</w:t>
      </w:r>
      <w:r w:rsidRPr="00901A48">
        <w:rPr>
          <w:rFonts w:eastAsiaTheme="minorEastAsia"/>
          <w:vertAlign w:val="superscript"/>
        </w:rPr>
        <w:t>T</w:t>
      </w:r>
      <w:r>
        <w:rPr>
          <w:rFonts w:eastAsiaTheme="minorEastAsia"/>
        </w:rPr>
        <w:t>(</w:t>
      </w:r>
      <w:proofErr w:type="spellStart"/>
      <w:r>
        <w:rPr>
          <w:rFonts w:eastAsiaTheme="minorEastAsia"/>
        </w:rPr>
        <w:t>t</w:t>
      </w:r>
      <w:r w:rsidRPr="00901A48">
        <w:rPr>
          <w:rFonts w:eastAsiaTheme="minorEastAsia"/>
          <w:vertAlign w:val="superscript"/>
        </w:rPr>
        <w:t>T</w:t>
      </w:r>
      <w:r>
        <w:rPr>
          <w:rFonts w:eastAsiaTheme="minorEastAsia"/>
        </w:rPr>
        <w:t>t</w:t>
      </w:r>
      <w:proofErr w:type="spellEnd"/>
      <w:r>
        <w:rPr>
          <w:rFonts w:eastAsiaTheme="minorEastAsia"/>
        </w:rPr>
        <w:t xml:space="preserve"> + R</w:t>
      </w:r>
      <w:r w:rsidRPr="00901A48">
        <w:rPr>
          <w:rFonts w:eastAsiaTheme="minorEastAsia"/>
          <w:vertAlign w:val="superscript"/>
        </w:rPr>
        <w:t>-1</w:t>
      </w:r>
      <w:r>
        <w:rPr>
          <w:rFonts w:eastAsiaTheme="minorEastAsia"/>
        </w:rPr>
        <w:t>)</w:t>
      </w:r>
      <w:r w:rsidRPr="00901A48">
        <w:rPr>
          <w:rFonts w:eastAsiaTheme="minorEastAsia"/>
          <w:vertAlign w:val="superscript"/>
        </w:rPr>
        <w:t>-1</w:t>
      </w:r>
      <w:r>
        <w:rPr>
          <w:rFonts w:eastAsiaTheme="minorEastAsia"/>
        </w:rPr>
        <w:t>(</w:t>
      </w:r>
      <w:proofErr w:type="spellStart"/>
      <w:r>
        <w:rPr>
          <w:rFonts w:eastAsiaTheme="minorEastAsia"/>
        </w:rPr>
        <w:t>t</w:t>
      </w:r>
      <w:r w:rsidRPr="00901A48">
        <w:rPr>
          <w:rFonts w:eastAsiaTheme="minorEastAsia"/>
          <w:vertAlign w:val="superscript"/>
        </w:rPr>
        <w:t>T</w:t>
      </w:r>
      <w:r w:rsidRPr="00901A48">
        <w:rPr>
          <w:rFonts w:eastAsiaTheme="minorEastAsia"/>
          <w:b/>
        </w:rPr>
        <w:t>y</w:t>
      </w:r>
      <w:proofErr w:type="spellEnd"/>
      <w:r>
        <w:rPr>
          <w:rFonts w:eastAsiaTheme="minorEastAsia"/>
        </w:rPr>
        <w:t xml:space="preserve"> + R</w:t>
      </w:r>
      <w:r w:rsidRPr="00901A48">
        <w:rPr>
          <w:rFonts w:eastAsiaTheme="minorEastAsia"/>
          <w:vertAlign w:val="superscript"/>
        </w:rPr>
        <w:t>-1</w:t>
      </w:r>
      <m:oMath>
        <m:r>
          <m:rPr>
            <m:sty m:val="bi"/>
          </m:rPr>
          <w:rPr>
            <w:rFonts w:ascii="Cambria Math" w:hAnsi="Cambria Math"/>
          </w:rPr>
          <m:t>η</m:t>
        </m:r>
      </m:oMath>
      <w:r w:rsidRPr="00D73F75">
        <w:rPr>
          <w:rFonts w:eastAsiaTheme="minorEastAsia"/>
          <w:vertAlign w:val="subscript"/>
        </w:rPr>
        <w:t>0</w:t>
      </w:r>
      <w:r>
        <w:rPr>
          <w:rFonts w:eastAsiaTheme="minorEastAsia"/>
        </w:rPr>
        <w:t>))) and</w:t>
      </w:r>
    </w:p>
    <w:p w14:paraId="7DDF81F1" w14:textId="77777777" w:rsidR="004C5268" w:rsidRPr="008F34F0" w:rsidRDefault="004C5268" w:rsidP="004C5268">
      <w:pPr>
        <w:spacing w:after="240"/>
        <w:jc w:val="both"/>
        <w:rPr>
          <w:rFonts w:eastAsiaTheme="minorEastAsia"/>
        </w:rPr>
      </w:pPr>
      <m:oMath>
        <m:r>
          <m:rPr>
            <m:sty m:val="bi"/>
          </m:rPr>
          <w:rPr>
            <w:rFonts w:ascii="Cambria Math" w:hAnsi="Cambria Math"/>
          </w:rPr>
          <m:t>η</m:t>
        </m:r>
      </m:oMath>
      <w:r>
        <w:rPr>
          <w:rFonts w:eastAsiaTheme="minorEastAsia"/>
          <w:b/>
        </w:rPr>
        <w:t>|</w:t>
      </w:r>
      <w:proofErr w:type="gramStart"/>
      <w:r>
        <w:rPr>
          <w:rFonts w:eastAsiaTheme="minorEastAsia"/>
          <w:b/>
        </w:rPr>
        <w:t>y</w:t>
      </w:r>
      <w:proofErr w:type="gramEnd"/>
      <w:r>
        <w:rPr>
          <w:rFonts w:eastAsiaTheme="minorEastAsia"/>
          <w:b/>
        </w:rPr>
        <w:t xml:space="preserve"> </w:t>
      </w:r>
      <w:r>
        <w:rPr>
          <w:rFonts w:eastAsiaTheme="minorEastAsia"/>
        </w:rPr>
        <w:t>~ St</w:t>
      </w:r>
      <w:r w:rsidRPr="00901A48">
        <w:rPr>
          <w:rFonts w:eastAsiaTheme="minorEastAsia"/>
          <w:vertAlign w:val="subscript"/>
        </w:rPr>
        <w:t>2</w:t>
      </w:r>
      <w:r>
        <w:rPr>
          <w:rFonts w:eastAsiaTheme="minorEastAsia"/>
        </w:rPr>
        <w:t>(</w:t>
      </w:r>
      <w:r>
        <w:rPr>
          <w:rFonts w:eastAsiaTheme="minorEastAsia"/>
          <w:b/>
        </w:rPr>
        <w:t>(</w:t>
      </w:r>
      <w:proofErr w:type="spellStart"/>
      <w:r>
        <w:rPr>
          <w:rFonts w:eastAsiaTheme="minorEastAsia"/>
          <w:b/>
        </w:rPr>
        <w:t>t</w:t>
      </w:r>
      <w:r w:rsidRPr="00901A48">
        <w:rPr>
          <w:rFonts w:eastAsiaTheme="minorEastAsia"/>
          <w:b/>
          <w:vertAlign w:val="superscript"/>
        </w:rPr>
        <w:t>T</w:t>
      </w:r>
      <w:r>
        <w:rPr>
          <w:rFonts w:eastAsiaTheme="minorEastAsia"/>
          <w:b/>
        </w:rPr>
        <w:t>t</w:t>
      </w:r>
      <w:proofErr w:type="spellEnd"/>
      <w:r>
        <w:rPr>
          <w:rFonts w:eastAsiaTheme="minorEastAsia"/>
          <w:b/>
        </w:rPr>
        <w:t xml:space="preserve"> + R</w:t>
      </w:r>
      <w:r w:rsidRPr="00901A48">
        <w:rPr>
          <w:rFonts w:eastAsiaTheme="minorEastAsia"/>
          <w:b/>
          <w:vertAlign w:val="superscript"/>
        </w:rPr>
        <w:t>-1</w:t>
      </w:r>
      <w:r>
        <w:rPr>
          <w:rFonts w:eastAsiaTheme="minorEastAsia"/>
          <w:b/>
        </w:rPr>
        <w:t>)</w:t>
      </w:r>
      <w:r w:rsidRPr="00901A48">
        <w:rPr>
          <w:rFonts w:eastAsiaTheme="minorEastAsia"/>
          <w:b/>
          <w:vertAlign w:val="superscript"/>
        </w:rPr>
        <w:t>-1</w:t>
      </w:r>
      <w:r>
        <w:rPr>
          <w:rFonts w:eastAsiaTheme="minorEastAsia"/>
          <w:b/>
        </w:rPr>
        <w:t>(</w:t>
      </w:r>
      <w:proofErr w:type="spellStart"/>
      <w:r>
        <w:rPr>
          <w:rFonts w:eastAsiaTheme="minorEastAsia"/>
          <w:b/>
        </w:rPr>
        <w:t>t</w:t>
      </w:r>
      <w:r w:rsidRPr="00901A48">
        <w:rPr>
          <w:rFonts w:eastAsiaTheme="minorEastAsia"/>
          <w:b/>
          <w:vertAlign w:val="superscript"/>
        </w:rPr>
        <w:t>T</w:t>
      </w:r>
      <w:r>
        <w:rPr>
          <w:rFonts w:eastAsiaTheme="minorEastAsia"/>
          <w:b/>
        </w:rPr>
        <w:t>y</w:t>
      </w:r>
      <w:proofErr w:type="spellEnd"/>
      <w:r>
        <w:rPr>
          <w:rFonts w:eastAsiaTheme="minorEastAsia"/>
          <w:b/>
        </w:rPr>
        <w:t xml:space="preserve"> + R</w:t>
      </w:r>
      <w:r w:rsidRPr="00901A48">
        <w:rPr>
          <w:rFonts w:eastAsiaTheme="minorEastAsia"/>
          <w:b/>
          <w:vertAlign w:val="superscript"/>
        </w:rPr>
        <w:t>-1</w:t>
      </w:r>
      <m:oMath>
        <m:r>
          <m:rPr>
            <m:sty m:val="bi"/>
          </m:rPr>
          <w:rPr>
            <w:rFonts w:ascii="Cambria Math" w:hAnsi="Cambria Math"/>
          </w:rPr>
          <m:t>η</m:t>
        </m:r>
      </m:oMath>
      <w:r w:rsidRPr="00D73F75">
        <w:rPr>
          <w:rFonts w:eastAsiaTheme="minorEastAsia"/>
          <w:vertAlign w:val="subscript"/>
        </w:rPr>
        <w:t>0</w:t>
      </w:r>
      <w:r>
        <w:rPr>
          <w:rFonts w:eastAsiaTheme="minorEastAsia"/>
        </w:rPr>
        <w:t xml:space="preserve">), </w:t>
      </w:r>
      <m:oMath>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p</m:t>
            </m:r>
          </m:sub>
          <m:sup>
            <m:r>
              <w:rPr>
                <w:rFonts w:ascii="Cambria Math" w:eastAsiaTheme="minorEastAsia" w:hAnsi="Cambria Math"/>
              </w:rPr>
              <m:t>-1</m:t>
            </m:r>
          </m:sup>
        </m:sSubSup>
      </m:oMath>
      <w:r>
        <w:rPr>
          <w:rFonts w:eastAsiaTheme="minorEastAsia"/>
        </w:rPr>
        <w:t>, n + 2a</w:t>
      </w:r>
      <w:r w:rsidRPr="00901A48">
        <w:rPr>
          <w:rFonts w:eastAsiaTheme="minorEastAsia"/>
          <w:vertAlign w:val="subscript"/>
        </w:rPr>
        <w:t>0</w:t>
      </w:r>
      <w:r>
        <w:rPr>
          <w:rFonts w:eastAsiaTheme="minorEastAsia"/>
        </w:rPr>
        <w:t>), where</w:t>
      </w:r>
    </w:p>
    <w:p w14:paraId="0288FEBA" w14:textId="6E19EDB0" w:rsidR="004C5268" w:rsidRDefault="00435A3F" w:rsidP="004C5268">
      <w:pPr>
        <w:spacing w:after="240"/>
        <w:jc w:val="both"/>
      </w:pPr>
      <m:oMath>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p</m:t>
            </m:r>
          </m:sub>
        </m:sSub>
      </m:oMath>
      <w:r w:rsidR="004C5268">
        <w:rPr>
          <w:rFonts w:eastAsiaTheme="minorEastAsia"/>
        </w:rPr>
        <w:t>= [2(t</w:t>
      </w:r>
      <w:proofErr w:type="spellStart"/>
      <w:r w:rsidR="004C5268" w:rsidRPr="00901A48">
        <w:rPr>
          <w:rFonts w:eastAsiaTheme="minorEastAsia"/>
          <w:vertAlign w:val="superscript"/>
        </w:rPr>
        <w:t>T</w:t>
      </w:r>
      <w:r w:rsidR="004C5268">
        <w:rPr>
          <w:rFonts w:eastAsiaTheme="minorEastAsia"/>
        </w:rPr>
        <w:t>t</w:t>
      </w:r>
      <w:bookmarkStart w:id="0" w:name="_GoBack"/>
      <w:bookmarkEnd w:id="0"/>
      <w:proofErr w:type="spellEnd"/>
      <w:r w:rsidR="004C5268">
        <w:rPr>
          <w:rFonts w:eastAsiaTheme="minorEastAsia"/>
        </w:rPr>
        <w:t xml:space="preserve"> + R</w:t>
      </w:r>
      <w:r w:rsidR="004C5268" w:rsidRPr="00901A48">
        <w:rPr>
          <w:rFonts w:eastAsiaTheme="minorEastAsia"/>
          <w:vertAlign w:val="superscript"/>
        </w:rPr>
        <w:t>-1</w:t>
      </w:r>
      <w:r w:rsidR="004C5268">
        <w:rPr>
          <w:rFonts w:eastAsiaTheme="minorEastAsia"/>
        </w:rPr>
        <w:t>)</w:t>
      </w:r>
      <w:r w:rsidR="004C5268" w:rsidRPr="00901A48">
        <w:rPr>
          <w:rFonts w:eastAsiaTheme="minorEastAsia"/>
          <w:vertAlign w:val="superscript"/>
        </w:rPr>
        <w:t>-1</w:t>
      </w:r>
      <w:r w:rsidR="004C5268">
        <w:rPr>
          <w:rFonts w:eastAsiaTheme="minorEastAsia"/>
        </w:rPr>
        <w:t>/(n + 2a</w:t>
      </w:r>
      <w:r w:rsidR="004C5268" w:rsidRPr="00901A48">
        <w:rPr>
          <w:rFonts w:eastAsiaTheme="minorEastAsia"/>
          <w:vertAlign w:val="subscript"/>
        </w:rPr>
        <w:t>0</w:t>
      </w:r>
      <w:r w:rsidR="004C5268">
        <w:rPr>
          <w:rFonts w:eastAsiaTheme="minorEastAsia"/>
        </w:rPr>
        <w:t>)][b</w:t>
      </w:r>
      <w:r w:rsidR="004C5268" w:rsidRPr="00901A48">
        <w:rPr>
          <w:rFonts w:eastAsiaTheme="minorEastAsia"/>
          <w:vertAlign w:val="subscript"/>
        </w:rPr>
        <w:t>0</w:t>
      </w:r>
      <w:r w:rsidR="004C5268">
        <w:rPr>
          <w:rFonts w:eastAsiaTheme="minorEastAsia"/>
        </w:rPr>
        <w:t xml:space="preserve"> + 0.5(</w:t>
      </w:r>
      <w:proofErr w:type="spellStart"/>
      <w:r w:rsidR="004C5268" w:rsidRPr="00901A48">
        <w:rPr>
          <w:rFonts w:eastAsiaTheme="minorEastAsia"/>
          <w:b/>
        </w:rPr>
        <w:t>y</w:t>
      </w:r>
      <w:r w:rsidR="004C5268" w:rsidRPr="00901A48">
        <w:rPr>
          <w:rFonts w:eastAsiaTheme="minorEastAsia"/>
          <w:vertAlign w:val="superscript"/>
        </w:rPr>
        <w:t>T</w:t>
      </w:r>
      <w:r w:rsidR="004C5268" w:rsidRPr="00901A48">
        <w:rPr>
          <w:rFonts w:eastAsiaTheme="minorEastAsia"/>
          <w:b/>
        </w:rPr>
        <w:t>y</w:t>
      </w:r>
      <w:proofErr w:type="spellEnd"/>
      <w:r w:rsidR="004C5268">
        <w:rPr>
          <w:rFonts w:eastAsiaTheme="minorEastAsia"/>
        </w:rPr>
        <w:t xml:space="preserve"> + </w:t>
      </w:r>
      <m:oMath>
        <m:sSubSup>
          <m:sSubSupPr>
            <m:ctrlPr>
              <w:rPr>
                <w:rFonts w:ascii="Cambria Math" w:eastAsiaTheme="minorEastAsia" w:hAnsi="Cambria Math"/>
                <w:i/>
              </w:rPr>
            </m:ctrlPr>
          </m:sSubSupPr>
          <m:e>
            <m:r>
              <m:rPr>
                <m:sty m:val="bi"/>
              </m:rPr>
              <w:rPr>
                <w:rFonts w:ascii="Cambria Math" w:eastAsiaTheme="minorEastAsia" w:hAnsi="Cambria Math"/>
              </w:rPr>
              <m:t>η</m:t>
            </m:r>
          </m:e>
          <m:sub>
            <m:r>
              <w:rPr>
                <w:rFonts w:ascii="Cambria Math" w:eastAsiaTheme="minorEastAsia" w:hAnsi="Cambria Math"/>
              </w:rPr>
              <m:t>0</m:t>
            </m:r>
          </m:sub>
          <m:sup>
            <m:r>
              <w:rPr>
                <w:rFonts w:ascii="Cambria Math" w:eastAsiaTheme="minorEastAsia" w:hAnsi="Cambria Math"/>
              </w:rPr>
              <m:t>T</m:t>
            </m:r>
          </m:sup>
        </m:sSubSup>
      </m:oMath>
      <w:r w:rsidR="004C5268">
        <w:rPr>
          <w:rFonts w:eastAsiaTheme="minorEastAsia"/>
        </w:rPr>
        <w:t>R</w:t>
      </w:r>
      <w:r w:rsidR="004C5268" w:rsidRPr="00901A48">
        <w:rPr>
          <w:rFonts w:eastAsiaTheme="minorEastAsia"/>
          <w:vertAlign w:val="superscript"/>
        </w:rPr>
        <w:t>-1</w:t>
      </w:r>
      <m:oMath>
        <m:r>
          <m:rPr>
            <m:sty m:val="bi"/>
          </m:rPr>
          <w:rPr>
            <w:rFonts w:ascii="Cambria Math" w:hAnsi="Cambria Math"/>
          </w:rPr>
          <m:t>η</m:t>
        </m:r>
      </m:oMath>
      <w:r w:rsidR="004C5268" w:rsidRPr="00D73F75">
        <w:rPr>
          <w:rFonts w:eastAsiaTheme="minorEastAsia"/>
          <w:vertAlign w:val="subscript"/>
        </w:rPr>
        <w:t>0</w:t>
      </w:r>
      <w:r w:rsidR="004C5268">
        <w:rPr>
          <w:rFonts w:eastAsiaTheme="minorEastAsia"/>
        </w:rPr>
        <w:t xml:space="preserve"> – (</w:t>
      </w:r>
      <w:proofErr w:type="spellStart"/>
      <w:r w:rsidR="004C5268">
        <w:rPr>
          <w:rFonts w:eastAsiaTheme="minorEastAsia"/>
        </w:rPr>
        <w:t>t</w:t>
      </w:r>
      <w:r w:rsidR="004C5268" w:rsidRPr="00901A48">
        <w:rPr>
          <w:rFonts w:eastAsiaTheme="minorEastAsia"/>
          <w:vertAlign w:val="superscript"/>
        </w:rPr>
        <w:t>T</w:t>
      </w:r>
      <w:r w:rsidR="004C5268" w:rsidRPr="00901A48">
        <w:rPr>
          <w:rFonts w:eastAsiaTheme="minorEastAsia"/>
          <w:b/>
        </w:rPr>
        <w:t>y</w:t>
      </w:r>
      <w:proofErr w:type="spellEnd"/>
      <w:r w:rsidR="004C5268">
        <w:rPr>
          <w:rFonts w:eastAsiaTheme="minorEastAsia"/>
        </w:rPr>
        <w:t xml:space="preserve"> + R</w:t>
      </w:r>
      <w:r w:rsidR="004C5268" w:rsidRPr="00901A48">
        <w:rPr>
          <w:rFonts w:eastAsiaTheme="minorEastAsia"/>
          <w:vertAlign w:val="superscript"/>
        </w:rPr>
        <w:t>-</w:t>
      </w:r>
      <w:proofErr w:type="gramStart"/>
      <w:r w:rsidR="004C5268" w:rsidRPr="00901A48">
        <w:rPr>
          <w:rFonts w:eastAsiaTheme="minorEastAsia"/>
          <w:vertAlign w:val="superscript"/>
        </w:rPr>
        <w:t>1</w:t>
      </w:r>
      <m:oMath>
        <m:r>
          <m:rPr>
            <m:sty m:val="bi"/>
          </m:rPr>
          <w:rPr>
            <w:rFonts w:ascii="Cambria Math" w:hAnsi="Cambria Math"/>
          </w:rPr>
          <m:t>η</m:t>
        </m:r>
      </m:oMath>
      <w:r w:rsidR="004C5268" w:rsidRPr="00D73F75">
        <w:rPr>
          <w:rFonts w:eastAsiaTheme="minorEastAsia"/>
          <w:vertAlign w:val="subscript"/>
        </w:rPr>
        <w:t>0</w:t>
      </w:r>
      <w:r w:rsidR="004C5268">
        <w:rPr>
          <w:rFonts w:eastAsiaTheme="minorEastAsia"/>
        </w:rPr>
        <w:t>)</w:t>
      </w:r>
      <w:r w:rsidR="004C5268" w:rsidRPr="00901A48">
        <w:rPr>
          <w:rFonts w:eastAsiaTheme="minorEastAsia"/>
          <w:vertAlign w:val="superscript"/>
        </w:rPr>
        <w:t>T</w:t>
      </w:r>
      <w:proofErr w:type="gramEnd"/>
      <w:r w:rsidR="004C5268">
        <w:rPr>
          <w:rFonts w:eastAsiaTheme="minorEastAsia"/>
        </w:rPr>
        <w:t>(</w:t>
      </w:r>
      <w:proofErr w:type="spellStart"/>
      <w:r w:rsidR="004C5268">
        <w:rPr>
          <w:rFonts w:eastAsiaTheme="minorEastAsia"/>
        </w:rPr>
        <w:t>t</w:t>
      </w:r>
      <w:r w:rsidR="004C5268" w:rsidRPr="00901A48">
        <w:rPr>
          <w:rFonts w:eastAsiaTheme="minorEastAsia"/>
          <w:vertAlign w:val="superscript"/>
        </w:rPr>
        <w:t>T</w:t>
      </w:r>
      <w:r w:rsidR="004C5268">
        <w:rPr>
          <w:rFonts w:eastAsiaTheme="minorEastAsia"/>
        </w:rPr>
        <w:t>t</w:t>
      </w:r>
      <w:proofErr w:type="spellEnd"/>
      <w:r w:rsidR="004C5268">
        <w:rPr>
          <w:rFonts w:eastAsiaTheme="minorEastAsia"/>
        </w:rPr>
        <w:t xml:space="preserve"> + R</w:t>
      </w:r>
      <w:r w:rsidR="004C5268" w:rsidRPr="00901A48">
        <w:rPr>
          <w:rFonts w:eastAsiaTheme="minorEastAsia"/>
          <w:vertAlign w:val="superscript"/>
        </w:rPr>
        <w:t>-1</w:t>
      </w:r>
      <w:r w:rsidR="004C5268">
        <w:rPr>
          <w:rFonts w:eastAsiaTheme="minorEastAsia"/>
        </w:rPr>
        <w:t>)</w:t>
      </w:r>
      <w:r w:rsidR="004C5268" w:rsidRPr="00901A48">
        <w:rPr>
          <w:rFonts w:eastAsiaTheme="minorEastAsia"/>
          <w:vertAlign w:val="superscript"/>
        </w:rPr>
        <w:t>-1</w:t>
      </w:r>
      <w:r w:rsidR="004C5268">
        <w:rPr>
          <w:rFonts w:eastAsiaTheme="minorEastAsia"/>
        </w:rPr>
        <w:t>(</w:t>
      </w:r>
      <w:proofErr w:type="spellStart"/>
      <w:r w:rsidR="004C5268">
        <w:rPr>
          <w:rFonts w:eastAsiaTheme="minorEastAsia"/>
        </w:rPr>
        <w:t>t</w:t>
      </w:r>
      <w:r w:rsidR="004C5268" w:rsidRPr="00901A48">
        <w:rPr>
          <w:rFonts w:eastAsiaTheme="minorEastAsia"/>
          <w:vertAlign w:val="superscript"/>
        </w:rPr>
        <w:t>T</w:t>
      </w:r>
      <w:r w:rsidR="004C5268" w:rsidRPr="00901A48">
        <w:rPr>
          <w:rFonts w:eastAsiaTheme="minorEastAsia"/>
          <w:b/>
        </w:rPr>
        <w:t>y</w:t>
      </w:r>
      <w:proofErr w:type="spellEnd"/>
      <w:r w:rsidR="004C5268">
        <w:rPr>
          <w:rFonts w:eastAsiaTheme="minorEastAsia"/>
        </w:rPr>
        <w:t xml:space="preserve"> + R</w:t>
      </w:r>
      <w:r w:rsidR="004C5268" w:rsidRPr="00901A48">
        <w:rPr>
          <w:rFonts w:eastAsiaTheme="minorEastAsia"/>
          <w:vertAlign w:val="superscript"/>
        </w:rPr>
        <w:t>-1</w:t>
      </w:r>
      <m:oMath>
        <m:r>
          <m:rPr>
            <m:sty m:val="bi"/>
          </m:rPr>
          <w:rPr>
            <w:rFonts w:ascii="Cambria Math" w:hAnsi="Cambria Math"/>
          </w:rPr>
          <m:t>η</m:t>
        </m:r>
      </m:oMath>
      <w:r w:rsidR="004C5268" w:rsidRPr="00D73F75">
        <w:rPr>
          <w:rFonts w:eastAsiaTheme="minorEastAsia"/>
          <w:vertAlign w:val="subscript"/>
        </w:rPr>
        <w:t>0</w:t>
      </w:r>
      <w:r w:rsidR="004C5268">
        <w:rPr>
          <w:rFonts w:eastAsiaTheme="minorEastAsia"/>
        </w:rPr>
        <w:t>))].</w:t>
      </w:r>
    </w:p>
    <w:p w14:paraId="5CA0E8EE" w14:textId="77777777" w:rsidR="005757A0" w:rsidRDefault="005757A0" w:rsidP="006A48BF">
      <w:pPr>
        <w:jc w:val="both"/>
      </w:pPr>
    </w:p>
    <w:sectPr w:rsidR="005757A0" w:rsidSect="00DC39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6F6B" w14:textId="77777777" w:rsidR="00435A3F" w:rsidRDefault="00435A3F" w:rsidP="006A48BF">
      <w:pPr>
        <w:spacing w:after="0" w:line="240" w:lineRule="auto"/>
      </w:pPr>
      <w:r>
        <w:separator/>
      </w:r>
    </w:p>
  </w:endnote>
  <w:endnote w:type="continuationSeparator" w:id="0">
    <w:p w14:paraId="3F3C4207" w14:textId="77777777" w:rsidR="00435A3F" w:rsidRDefault="00435A3F" w:rsidP="006A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73245"/>
      <w:docPartObj>
        <w:docPartGallery w:val="Page Numbers (Bottom of Page)"/>
        <w:docPartUnique/>
      </w:docPartObj>
    </w:sdtPr>
    <w:sdtEndPr>
      <w:rPr>
        <w:noProof/>
      </w:rPr>
    </w:sdtEndPr>
    <w:sdtContent>
      <w:p w14:paraId="4684F0F1" w14:textId="77777777" w:rsidR="00435A3F" w:rsidRDefault="00435A3F">
        <w:pPr>
          <w:pStyle w:val="Footer"/>
          <w:jc w:val="center"/>
        </w:pPr>
        <w:r>
          <w:fldChar w:fldCharType="begin"/>
        </w:r>
        <w:r>
          <w:instrText xml:space="preserve"> PAGE   \* MERGEFORMAT </w:instrText>
        </w:r>
        <w:r>
          <w:fldChar w:fldCharType="separate"/>
        </w:r>
        <w:r w:rsidR="00BF39E5">
          <w:rPr>
            <w:noProof/>
          </w:rPr>
          <w:t>6</w:t>
        </w:r>
        <w:r>
          <w:rPr>
            <w:noProof/>
          </w:rPr>
          <w:fldChar w:fldCharType="end"/>
        </w:r>
      </w:p>
    </w:sdtContent>
  </w:sdt>
  <w:p w14:paraId="751C279D" w14:textId="77777777" w:rsidR="00435A3F" w:rsidRDefault="00435A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51F6" w14:textId="77777777" w:rsidR="00435A3F" w:rsidRDefault="00435A3F" w:rsidP="006A48BF">
      <w:pPr>
        <w:spacing w:after="0" w:line="240" w:lineRule="auto"/>
      </w:pPr>
      <w:r>
        <w:separator/>
      </w:r>
    </w:p>
  </w:footnote>
  <w:footnote w:type="continuationSeparator" w:id="0">
    <w:p w14:paraId="32521F93" w14:textId="77777777" w:rsidR="00435A3F" w:rsidRDefault="00435A3F" w:rsidP="006A48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5B95" w14:textId="77777777" w:rsidR="00435A3F" w:rsidRDefault="00435A3F">
    <w:pPr>
      <w:pStyle w:val="Header"/>
    </w:pPr>
  </w:p>
  <w:p w14:paraId="4DCA4702" w14:textId="77777777" w:rsidR="00435A3F" w:rsidRDefault="00435A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55C"/>
    <w:multiLevelType w:val="hybridMultilevel"/>
    <w:tmpl w:val="F4AACE76"/>
    <w:lvl w:ilvl="0" w:tplc="F20087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2D3959"/>
    <w:multiLevelType w:val="hybridMultilevel"/>
    <w:tmpl w:val="A152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5513F"/>
    <w:multiLevelType w:val="hybridMultilevel"/>
    <w:tmpl w:val="80EE87E2"/>
    <w:lvl w:ilvl="0" w:tplc="F20087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CF627F"/>
    <w:multiLevelType w:val="hybridMultilevel"/>
    <w:tmpl w:val="9AECF170"/>
    <w:lvl w:ilvl="0" w:tplc="FD3EEB4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98617D"/>
    <w:multiLevelType w:val="hybridMultilevel"/>
    <w:tmpl w:val="7C8C7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3D4C62"/>
    <w:multiLevelType w:val="hybridMultilevel"/>
    <w:tmpl w:val="4C5C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23507C"/>
    <w:multiLevelType w:val="hybridMultilevel"/>
    <w:tmpl w:val="CB80851E"/>
    <w:lvl w:ilvl="0" w:tplc="34C857CE">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7423604"/>
    <w:multiLevelType w:val="hybridMultilevel"/>
    <w:tmpl w:val="EF14992A"/>
    <w:lvl w:ilvl="0" w:tplc="F20087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4A"/>
    <w:rsid w:val="0002184B"/>
    <w:rsid w:val="00100D97"/>
    <w:rsid w:val="00182BF3"/>
    <w:rsid w:val="001A57F4"/>
    <w:rsid w:val="001D4BFB"/>
    <w:rsid w:val="00212B40"/>
    <w:rsid w:val="002D1EE4"/>
    <w:rsid w:val="002F345E"/>
    <w:rsid w:val="00300CDF"/>
    <w:rsid w:val="00372668"/>
    <w:rsid w:val="003733AF"/>
    <w:rsid w:val="003A64A6"/>
    <w:rsid w:val="003E1336"/>
    <w:rsid w:val="003E571F"/>
    <w:rsid w:val="00435A3F"/>
    <w:rsid w:val="004C5268"/>
    <w:rsid w:val="004C7580"/>
    <w:rsid w:val="005757A0"/>
    <w:rsid w:val="005B5FCA"/>
    <w:rsid w:val="0067207C"/>
    <w:rsid w:val="00694B31"/>
    <w:rsid w:val="00696A61"/>
    <w:rsid w:val="006A394A"/>
    <w:rsid w:val="006A48BF"/>
    <w:rsid w:val="00741409"/>
    <w:rsid w:val="007D175E"/>
    <w:rsid w:val="00807F1F"/>
    <w:rsid w:val="0081109A"/>
    <w:rsid w:val="008745DD"/>
    <w:rsid w:val="00884D35"/>
    <w:rsid w:val="008E35EF"/>
    <w:rsid w:val="00920E72"/>
    <w:rsid w:val="00943344"/>
    <w:rsid w:val="00956079"/>
    <w:rsid w:val="009608E4"/>
    <w:rsid w:val="0097319A"/>
    <w:rsid w:val="009B29DB"/>
    <w:rsid w:val="00A207C2"/>
    <w:rsid w:val="00AA380F"/>
    <w:rsid w:val="00AA7AE5"/>
    <w:rsid w:val="00AD6D37"/>
    <w:rsid w:val="00B65C1D"/>
    <w:rsid w:val="00BF39E5"/>
    <w:rsid w:val="00BF3A1C"/>
    <w:rsid w:val="00C253E3"/>
    <w:rsid w:val="00CE6C1C"/>
    <w:rsid w:val="00D06461"/>
    <w:rsid w:val="00D40960"/>
    <w:rsid w:val="00D422C1"/>
    <w:rsid w:val="00D77830"/>
    <w:rsid w:val="00DC3950"/>
    <w:rsid w:val="00E0159D"/>
    <w:rsid w:val="00E319CA"/>
    <w:rsid w:val="00EE4595"/>
    <w:rsid w:val="00F12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4A"/>
    <w:pPr>
      <w:ind w:left="720"/>
      <w:contextualSpacing/>
    </w:pPr>
  </w:style>
  <w:style w:type="table" w:styleId="TableGrid">
    <w:name w:val="Table Grid"/>
    <w:basedOn w:val="TableNormal"/>
    <w:uiPriority w:val="59"/>
    <w:rsid w:val="0087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57F4"/>
    <w:rPr>
      <w:sz w:val="16"/>
      <w:szCs w:val="16"/>
    </w:rPr>
  </w:style>
  <w:style w:type="paragraph" w:styleId="CommentText">
    <w:name w:val="annotation text"/>
    <w:basedOn w:val="Normal"/>
    <w:link w:val="CommentTextChar"/>
    <w:uiPriority w:val="99"/>
    <w:semiHidden/>
    <w:unhideWhenUsed/>
    <w:rsid w:val="001A57F4"/>
    <w:pPr>
      <w:spacing w:line="240" w:lineRule="auto"/>
    </w:pPr>
    <w:rPr>
      <w:sz w:val="20"/>
      <w:szCs w:val="20"/>
    </w:rPr>
  </w:style>
  <w:style w:type="character" w:customStyle="1" w:styleId="CommentTextChar">
    <w:name w:val="Comment Text Char"/>
    <w:basedOn w:val="DefaultParagraphFont"/>
    <w:link w:val="CommentText"/>
    <w:uiPriority w:val="99"/>
    <w:semiHidden/>
    <w:rsid w:val="001A57F4"/>
    <w:rPr>
      <w:sz w:val="20"/>
      <w:szCs w:val="20"/>
    </w:rPr>
  </w:style>
  <w:style w:type="paragraph" w:styleId="CommentSubject">
    <w:name w:val="annotation subject"/>
    <w:basedOn w:val="CommentText"/>
    <w:next w:val="CommentText"/>
    <w:link w:val="CommentSubjectChar"/>
    <w:uiPriority w:val="99"/>
    <w:semiHidden/>
    <w:unhideWhenUsed/>
    <w:rsid w:val="001A57F4"/>
    <w:rPr>
      <w:b/>
      <w:bCs/>
    </w:rPr>
  </w:style>
  <w:style w:type="character" w:customStyle="1" w:styleId="CommentSubjectChar">
    <w:name w:val="Comment Subject Char"/>
    <w:basedOn w:val="CommentTextChar"/>
    <w:link w:val="CommentSubject"/>
    <w:uiPriority w:val="99"/>
    <w:semiHidden/>
    <w:rsid w:val="001A57F4"/>
    <w:rPr>
      <w:b/>
      <w:bCs/>
      <w:sz w:val="20"/>
      <w:szCs w:val="20"/>
    </w:rPr>
  </w:style>
  <w:style w:type="paragraph" w:styleId="BalloonText">
    <w:name w:val="Balloon Text"/>
    <w:basedOn w:val="Normal"/>
    <w:link w:val="BalloonTextChar"/>
    <w:uiPriority w:val="99"/>
    <w:semiHidden/>
    <w:unhideWhenUsed/>
    <w:rsid w:val="001A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F4"/>
    <w:rPr>
      <w:rFonts w:ascii="Tahoma" w:hAnsi="Tahoma" w:cs="Tahoma"/>
      <w:sz w:val="16"/>
      <w:szCs w:val="16"/>
    </w:rPr>
  </w:style>
  <w:style w:type="paragraph" w:styleId="Header">
    <w:name w:val="header"/>
    <w:basedOn w:val="Normal"/>
    <w:link w:val="HeaderChar"/>
    <w:uiPriority w:val="99"/>
    <w:unhideWhenUsed/>
    <w:rsid w:val="006A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BF"/>
  </w:style>
  <w:style w:type="paragraph" w:styleId="Footer">
    <w:name w:val="footer"/>
    <w:basedOn w:val="Normal"/>
    <w:link w:val="FooterChar"/>
    <w:uiPriority w:val="99"/>
    <w:unhideWhenUsed/>
    <w:rsid w:val="006A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BF"/>
  </w:style>
  <w:style w:type="character" w:styleId="PlaceholderText">
    <w:name w:val="Placeholder Text"/>
    <w:basedOn w:val="DefaultParagraphFont"/>
    <w:uiPriority w:val="99"/>
    <w:semiHidden/>
    <w:rsid w:val="00435A3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4A"/>
    <w:pPr>
      <w:ind w:left="720"/>
      <w:contextualSpacing/>
    </w:pPr>
  </w:style>
  <w:style w:type="table" w:styleId="TableGrid">
    <w:name w:val="Table Grid"/>
    <w:basedOn w:val="TableNormal"/>
    <w:uiPriority w:val="59"/>
    <w:rsid w:val="0087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57F4"/>
    <w:rPr>
      <w:sz w:val="16"/>
      <w:szCs w:val="16"/>
    </w:rPr>
  </w:style>
  <w:style w:type="paragraph" w:styleId="CommentText">
    <w:name w:val="annotation text"/>
    <w:basedOn w:val="Normal"/>
    <w:link w:val="CommentTextChar"/>
    <w:uiPriority w:val="99"/>
    <w:semiHidden/>
    <w:unhideWhenUsed/>
    <w:rsid w:val="001A57F4"/>
    <w:pPr>
      <w:spacing w:line="240" w:lineRule="auto"/>
    </w:pPr>
    <w:rPr>
      <w:sz w:val="20"/>
      <w:szCs w:val="20"/>
    </w:rPr>
  </w:style>
  <w:style w:type="character" w:customStyle="1" w:styleId="CommentTextChar">
    <w:name w:val="Comment Text Char"/>
    <w:basedOn w:val="DefaultParagraphFont"/>
    <w:link w:val="CommentText"/>
    <w:uiPriority w:val="99"/>
    <w:semiHidden/>
    <w:rsid w:val="001A57F4"/>
    <w:rPr>
      <w:sz w:val="20"/>
      <w:szCs w:val="20"/>
    </w:rPr>
  </w:style>
  <w:style w:type="paragraph" w:styleId="CommentSubject">
    <w:name w:val="annotation subject"/>
    <w:basedOn w:val="CommentText"/>
    <w:next w:val="CommentText"/>
    <w:link w:val="CommentSubjectChar"/>
    <w:uiPriority w:val="99"/>
    <w:semiHidden/>
    <w:unhideWhenUsed/>
    <w:rsid w:val="001A57F4"/>
    <w:rPr>
      <w:b/>
      <w:bCs/>
    </w:rPr>
  </w:style>
  <w:style w:type="character" w:customStyle="1" w:styleId="CommentSubjectChar">
    <w:name w:val="Comment Subject Char"/>
    <w:basedOn w:val="CommentTextChar"/>
    <w:link w:val="CommentSubject"/>
    <w:uiPriority w:val="99"/>
    <w:semiHidden/>
    <w:rsid w:val="001A57F4"/>
    <w:rPr>
      <w:b/>
      <w:bCs/>
      <w:sz w:val="20"/>
      <w:szCs w:val="20"/>
    </w:rPr>
  </w:style>
  <w:style w:type="paragraph" w:styleId="BalloonText">
    <w:name w:val="Balloon Text"/>
    <w:basedOn w:val="Normal"/>
    <w:link w:val="BalloonTextChar"/>
    <w:uiPriority w:val="99"/>
    <w:semiHidden/>
    <w:unhideWhenUsed/>
    <w:rsid w:val="001A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F4"/>
    <w:rPr>
      <w:rFonts w:ascii="Tahoma" w:hAnsi="Tahoma" w:cs="Tahoma"/>
      <w:sz w:val="16"/>
      <w:szCs w:val="16"/>
    </w:rPr>
  </w:style>
  <w:style w:type="paragraph" w:styleId="Header">
    <w:name w:val="header"/>
    <w:basedOn w:val="Normal"/>
    <w:link w:val="HeaderChar"/>
    <w:uiPriority w:val="99"/>
    <w:unhideWhenUsed/>
    <w:rsid w:val="006A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BF"/>
  </w:style>
  <w:style w:type="paragraph" w:styleId="Footer">
    <w:name w:val="footer"/>
    <w:basedOn w:val="Normal"/>
    <w:link w:val="FooterChar"/>
    <w:uiPriority w:val="99"/>
    <w:unhideWhenUsed/>
    <w:rsid w:val="006A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BF"/>
  </w:style>
  <w:style w:type="character" w:styleId="PlaceholderText">
    <w:name w:val="Placeholder Text"/>
    <w:basedOn w:val="DefaultParagraphFont"/>
    <w:uiPriority w:val="99"/>
    <w:semiHidden/>
    <w:rsid w:val="00435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F2"/>
    <w:rsid w:val="006E6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6F2"/>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6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1700</Words>
  <Characters>9695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Hampson, Lisa</dc:creator>
  <cp:lastModifiedBy>Lisa</cp:lastModifiedBy>
  <cp:revision>17</cp:revision>
  <dcterms:created xsi:type="dcterms:W3CDTF">2016-06-27T10:54:00Z</dcterms:created>
  <dcterms:modified xsi:type="dcterms:W3CDTF">2018-06-17T16:17:00Z</dcterms:modified>
</cp:coreProperties>
</file>