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BB" w:rsidRDefault="006F2CBB" w:rsidP="006F2CBB">
      <w:pPr>
        <w:rPr>
          <w:rFonts w:ascii="Times New Roman" w:hAnsi="Times New Roman" w:cs="Times New Roman"/>
          <w:sz w:val="24"/>
          <w:szCs w:val="24"/>
        </w:rPr>
      </w:pPr>
      <w:proofErr w:type="gramStart"/>
      <w:r>
        <w:rPr>
          <w:rFonts w:ascii="Times New Roman" w:hAnsi="Times New Roman" w:cs="Times New Roman"/>
          <w:b/>
          <w:sz w:val="24"/>
          <w:szCs w:val="24"/>
        </w:rPr>
        <w:t>S7 Table.</w:t>
      </w:r>
      <w:proofErr w:type="gramEnd"/>
      <w:r>
        <w:rPr>
          <w:rFonts w:ascii="Times New Roman" w:hAnsi="Times New Roman" w:cs="Times New Roman"/>
          <w:b/>
          <w:sz w:val="24"/>
          <w:szCs w:val="24"/>
        </w:rPr>
        <w:t xml:space="preserve"> Comparison of various delays [median(IQR)] in days, number of health care providers visited, first health care provider visited among </w:t>
      </w:r>
      <w:r>
        <w:rPr>
          <w:rFonts w:ascii="Times New Roman" w:hAnsi="Times New Roman" w:cs="Times New Roman"/>
          <w:b/>
          <w:i/>
          <w:sz w:val="24"/>
          <w:szCs w:val="24"/>
        </w:rPr>
        <w:t>Axshya</w:t>
      </w:r>
      <w:r>
        <w:rPr>
          <w:rFonts w:ascii="Times New Roman" w:hAnsi="Times New Roman" w:cs="Times New Roman"/>
          <w:b/>
          <w:sz w:val="24"/>
          <w:szCs w:val="24"/>
        </w:rPr>
        <w:t xml:space="preserve"> </w:t>
      </w:r>
      <w:r>
        <w:rPr>
          <w:rFonts w:ascii="Times New Roman" w:hAnsi="Times New Roman" w:cs="Times New Roman"/>
          <w:b/>
          <w:i/>
          <w:sz w:val="24"/>
          <w:szCs w:val="24"/>
        </w:rPr>
        <w:t>SAMVAD</w:t>
      </w:r>
      <w:r>
        <w:rPr>
          <w:rFonts w:ascii="Times New Roman" w:hAnsi="Times New Roman" w:cs="Times New Roman"/>
          <w:b/>
          <w:sz w:val="24"/>
          <w:szCs w:val="24"/>
        </w:rPr>
        <w:t xml:space="preserve"> and non-</w:t>
      </w:r>
      <w:r>
        <w:rPr>
          <w:rFonts w:ascii="Times New Roman" w:hAnsi="Times New Roman" w:cs="Times New Roman"/>
          <w:b/>
          <w:i/>
          <w:sz w:val="24"/>
          <w:szCs w:val="24"/>
        </w:rPr>
        <w:t>Axshya</w:t>
      </w:r>
      <w:r>
        <w:rPr>
          <w:rFonts w:ascii="Times New Roman" w:hAnsi="Times New Roman" w:cs="Times New Roman"/>
          <w:b/>
          <w:sz w:val="24"/>
          <w:szCs w:val="24"/>
        </w:rPr>
        <w:t xml:space="preserve"> </w:t>
      </w:r>
      <w:r>
        <w:rPr>
          <w:rFonts w:ascii="Times New Roman" w:hAnsi="Times New Roman" w:cs="Times New Roman"/>
          <w:b/>
          <w:i/>
          <w:sz w:val="24"/>
          <w:szCs w:val="24"/>
        </w:rPr>
        <w:t>SAMVAD</w:t>
      </w:r>
      <w:r>
        <w:rPr>
          <w:rFonts w:ascii="Times New Roman" w:hAnsi="Times New Roman" w:cs="Times New Roman"/>
          <w:b/>
          <w:sz w:val="24"/>
          <w:szCs w:val="24"/>
        </w:rPr>
        <w:t xml:space="preserve"> group with a findings from a previous systematic review from India</w:t>
      </w:r>
    </w:p>
    <w:tbl>
      <w:tblPr>
        <w:tblStyle w:val="TableGrid"/>
        <w:tblW w:w="8895" w:type="dxa"/>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79"/>
        <w:gridCol w:w="2011"/>
        <w:gridCol w:w="1932"/>
        <w:gridCol w:w="2473"/>
      </w:tblGrid>
      <w:tr w:rsidR="006F2CBB" w:rsidTr="006F2CBB">
        <w:trPr>
          <w:trHeight w:val="534"/>
        </w:trPr>
        <w:tc>
          <w:tcPr>
            <w:tcW w:w="2477" w:type="dxa"/>
            <w:tcBorders>
              <w:top w:val="single" w:sz="4" w:space="0" w:color="auto"/>
              <w:left w:val="nil"/>
              <w:bottom w:val="single" w:sz="4" w:space="0" w:color="auto"/>
              <w:right w:val="nil"/>
            </w:tcBorders>
            <w:hideMark/>
          </w:tcPr>
          <w:p w:rsidR="006F2CBB" w:rsidRDefault="006F2CBB">
            <w:pPr>
              <w:rPr>
                <w:rFonts w:ascii="Times New Roman" w:hAnsi="Times New Roman" w:cs="Times New Roman"/>
                <w:b/>
              </w:rPr>
            </w:pPr>
            <w:r>
              <w:rPr>
                <w:rFonts w:ascii="Times New Roman" w:hAnsi="Times New Roman" w:cs="Times New Roman"/>
                <w:b/>
              </w:rPr>
              <w:t>Variable</w:t>
            </w:r>
          </w:p>
        </w:tc>
        <w:tc>
          <w:tcPr>
            <w:tcW w:w="2010" w:type="dxa"/>
            <w:tcBorders>
              <w:top w:val="single" w:sz="4" w:space="0" w:color="auto"/>
              <w:left w:val="nil"/>
              <w:bottom w:val="single" w:sz="4" w:space="0" w:color="auto"/>
              <w:right w:val="nil"/>
            </w:tcBorders>
            <w:hideMark/>
          </w:tcPr>
          <w:p w:rsidR="006F2CBB" w:rsidRDefault="006F2CBB">
            <w:pPr>
              <w:jc w:val="center"/>
              <w:rPr>
                <w:rFonts w:ascii="Times New Roman" w:hAnsi="Times New Roman" w:cs="Times New Roman"/>
                <w:b/>
              </w:rPr>
            </w:pPr>
            <w:r>
              <w:rPr>
                <w:rFonts w:ascii="Times New Roman" w:hAnsi="Times New Roman" w:cs="Times New Roman"/>
                <w:b/>
                <w:i/>
              </w:rPr>
              <w:t>Axshya</w:t>
            </w:r>
            <w:r>
              <w:rPr>
                <w:rFonts w:ascii="Times New Roman" w:hAnsi="Times New Roman" w:cs="Times New Roman"/>
                <w:b/>
              </w:rPr>
              <w:t xml:space="preserve"> </w:t>
            </w:r>
            <w:r>
              <w:rPr>
                <w:rFonts w:ascii="Times New Roman" w:hAnsi="Times New Roman" w:cs="Times New Roman"/>
                <w:b/>
                <w:i/>
              </w:rPr>
              <w:t>SAMVAD</w:t>
            </w:r>
          </w:p>
        </w:tc>
        <w:tc>
          <w:tcPr>
            <w:tcW w:w="1931" w:type="dxa"/>
            <w:tcBorders>
              <w:top w:val="single" w:sz="4" w:space="0" w:color="auto"/>
              <w:left w:val="nil"/>
              <w:bottom w:val="single" w:sz="4" w:space="0" w:color="auto"/>
              <w:right w:val="nil"/>
            </w:tcBorders>
            <w:hideMark/>
          </w:tcPr>
          <w:p w:rsidR="006F2CBB" w:rsidRDefault="006F2CBB">
            <w:pPr>
              <w:jc w:val="center"/>
              <w:rPr>
                <w:rFonts w:ascii="Times New Roman" w:hAnsi="Times New Roman" w:cs="Times New Roman"/>
                <w:b/>
              </w:rPr>
            </w:pPr>
            <w:r>
              <w:rPr>
                <w:rFonts w:ascii="Times New Roman" w:hAnsi="Times New Roman" w:cs="Times New Roman"/>
                <w:b/>
              </w:rPr>
              <w:t>Non-</w:t>
            </w:r>
            <w:r>
              <w:rPr>
                <w:rFonts w:ascii="Times New Roman" w:hAnsi="Times New Roman" w:cs="Times New Roman"/>
                <w:b/>
                <w:i/>
              </w:rPr>
              <w:t>Axshya</w:t>
            </w:r>
            <w:r>
              <w:rPr>
                <w:rFonts w:ascii="Times New Roman" w:hAnsi="Times New Roman" w:cs="Times New Roman"/>
                <w:b/>
              </w:rPr>
              <w:t xml:space="preserve"> </w:t>
            </w:r>
            <w:r>
              <w:rPr>
                <w:rFonts w:ascii="Times New Roman" w:hAnsi="Times New Roman" w:cs="Times New Roman"/>
                <w:b/>
                <w:i/>
              </w:rPr>
              <w:t>SAMVAD</w:t>
            </w:r>
          </w:p>
        </w:tc>
        <w:tc>
          <w:tcPr>
            <w:tcW w:w="2471" w:type="dxa"/>
            <w:tcBorders>
              <w:top w:val="single" w:sz="4" w:space="0" w:color="auto"/>
              <w:left w:val="nil"/>
              <w:bottom w:val="single" w:sz="4" w:space="0" w:color="auto"/>
              <w:right w:val="nil"/>
            </w:tcBorders>
            <w:hideMark/>
          </w:tcPr>
          <w:p w:rsidR="006F2CBB" w:rsidRDefault="006F2CBB">
            <w:pPr>
              <w:jc w:val="center"/>
              <w:rPr>
                <w:rFonts w:ascii="Times New Roman" w:hAnsi="Times New Roman" w:cs="Times New Roman"/>
                <w:b/>
              </w:rPr>
            </w:pPr>
            <w:r>
              <w:rPr>
                <w:rFonts w:ascii="Times New Roman" w:hAnsi="Times New Roman" w:cs="Times New Roman"/>
                <w:b/>
              </w:rPr>
              <w:t>Systematic review, India (2014)*</w:t>
            </w:r>
          </w:p>
        </w:tc>
      </w:tr>
      <w:tr w:rsidR="006F2CBB" w:rsidTr="006F2CBB">
        <w:trPr>
          <w:trHeight w:val="283"/>
        </w:trPr>
        <w:tc>
          <w:tcPr>
            <w:tcW w:w="2477" w:type="dxa"/>
            <w:tcBorders>
              <w:top w:val="single" w:sz="4" w:space="0" w:color="auto"/>
              <w:left w:val="nil"/>
              <w:bottom w:val="nil"/>
              <w:right w:val="nil"/>
            </w:tcBorders>
            <w:hideMark/>
          </w:tcPr>
          <w:p w:rsidR="006F2CBB" w:rsidRDefault="006F2CBB">
            <w:pPr>
              <w:rPr>
                <w:rFonts w:ascii="Times New Roman" w:hAnsi="Times New Roman" w:cs="Times New Roman"/>
              </w:rPr>
            </w:pPr>
            <w:r>
              <w:rPr>
                <w:rFonts w:ascii="Times New Roman" w:hAnsi="Times New Roman" w:cs="Times New Roman"/>
              </w:rPr>
              <w:t xml:space="preserve">Health care providers </w:t>
            </w:r>
          </w:p>
        </w:tc>
        <w:tc>
          <w:tcPr>
            <w:tcW w:w="2010" w:type="dxa"/>
            <w:tcBorders>
              <w:top w:val="single" w:sz="4" w:space="0" w:color="auto"/>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1.8 (mean)</w:t>
            </w:r>
          </w:p>
        </w:tc>
        <w:tc>
          <w:tcPr>
            <w:tcW w:w="1931" w:type="dxa"/>
            <w:tcBorders>
              <w:top w:val="single" w:sz="4" w:space="0" w:color="auto"/>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2.7 (mean)</w:t>
            </w:r>
          </w:p>
        </w:tc>
        <w:tc>
          <w:tcPr>
            <w:tcW w:w="2471" w:type="dxa"/>
            <w:tcBorders>
              <w:top w:val="single" w:sz="4" w:space="0" w:color="auto"/>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2.7 (mean)</w:t>
            </w:r>
          </w:p>
        </w:tc>
      </w:tr>
      <w:tr w:rsidR="006F2CBB" w:rsidTr="006F2CBB">
        <w:trPr>
          <w:trHeight w:val="534"/>
        </w:trPr>
        <w:tc>
          <w:tcPr>
            <w:tcW w:w="2477" w:type="dxa"/>
            <w:tcBorders>
              <w:top w:val="nil"/>
              <w:left w:val="nil"/>
              <w:bottom w:val="nil"/>
              <w:right w:val="nil"/>
            </w:tcBorders>
            <w:hideMark/>
          </w:tcPr>
          <w:p w:rsidR="006F2CBB" w:rsidRDefault="006F2CBB">
            <w:pPr>
              <w:rPr>
                <w:rFonts w:ascii="Times New Roman" w:hAnsi="Times New Roman" w:cs="Times New Roman"/>
              </w:rPr>
            </w:pPr>
            <w:r>
              <w:rPr>
                <w:rFonts w:ascii="Times New Roman" w:hAnsi="Times New Roman" w:cs="Times New Roman"/>
              </w:rPr>
              <w:t>visited</w:t>
            </w:r>
          </w:p>
        </w:tc>
        <w:tc>
          <w:tcPr>
            <w:tcW w:w="2010" w:type="dxa"/>
            <w:tcBorders>
              <w:top w:val="nil"/>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1 (median)</w:t>
            </w:r>
          </w:p>
        </w:tc>
        <w:tc>
          <w:tcPr>
            <w:tcW w:w="1931" w:type="dxa"/>
            <w:tcBorders>
              <w:top w:val="nil"/>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2 (median)</w:t>
            </w:r>
          </w:p>
        </w:tc>
        <w:tc>
          <w:tcPr>
            <w:tcW w:w="2471" w:type="dxa"/>
            <w:tcBorders>
              <w:top w:val="nil"/>
              <w:left w:val="nil"/>
              <w:bottom w:val="nil"/>
              <w:right w:val="nil"/>
            </w:tcBorders>
          </w:tcPr>
          <w:p w:rsidR="006F2CBB" w:rsidRDefault="006F2CBB">
            <w:pPr>
              <w:jc w:val="center"/>
              <w:rPr>
                <w:rFonts w:ascii="Times New Roman" w:hAnsi="Times New Roman" w:cs="Times New Roman"/>
              </w:rPr>
            </w:pPr>
          </w:p>
        </w:tc>
      </w:tr>
      <w:tr w:rsidR="006F2CBB" w:rsidTr="006F2CBB">
        <w:trPr>
          <w:trHeight w:val="534"/>
        </w:trPr>
        <w:tc>
          <w:tcPr>
            <w:tcW w:w="2477" w:type="dxa"/>
            <w:tcBorders>
              <w:top w:val="nil"/>
              <w:left w:val="nil"/>
              <w:bottom w:val="single" w:sz="4" w:space="0" w:color="auto"/>
              <w:right w:val="nil"/>
            </w:tcBorders>
            <w:hideMark/>
          </w:tcPr>
          <w:p w:rsidR="006F2CBB" w:rsidRDefault="006F2CBB">
            <w:pPr>
              <w:rPr>
                <w:rFonts w:ascii="Times New Roman" w:hAnsi="Times New Roman" w:cs="Times New Roman"/>
              </w:rPr>
            </w:pPr>
            <w:r>
              <w:rPr>
                <w:rFonts w:ascii="Times New Roman" w:hAnsi="Times New Roman" w:cs="Times New Roman"/>
              </w:rPr>
              <w:t>First HCP visited was a private HCP</w:t>
            </w:r>
          </w:p>
        </w:tc>
        <w:tc>
          <w:tcPr>
            <w:tcW w:w="2010" w:type="dxa"/>
            <w:tcBorders>
              <w:top w:val="nil"/>
              <w:left w:val="nil"/>
              <w:bottom w:val="single" w:sz="4" w:space="0" w:color="auto"/>
              <w:right w:val="nil"/>
            </w:tcBorders>
            <w:hideMark/>
          </w:tcPr>
          <w:p w:rsidR="006F2CBB" w:rsidRDefault="006F2CBB">
            <w:pPr>
              <w:jc w:val="center"/>
              <w:rPr>
                <w:rFonts w:ascii="Times New Roman" w:hAnsi="Times New Roman" w:cs="Times New Roman"/>
              </w:rPr>
            </w:pPr>
            <w:r>
              <w:rPr>
                <w:rFonts w:ascii="Times New Roman" w:hAnsi="Times New Roman" w:cs="Times New Roman"/>
              </w:rPr>
              <w:t>48%</w:t>
            </w:r>
          </w:p>
        </w:tc>
        <w:tc>
          <w:tcPr>
            <w:tcW w:w="1931" w:type="dxa"/>
            <w:tcBorders>
              <w:top w:val="nil"/>
              <w:left w:val="nil"/>
              <w:bottom w:val="single" w:sz="4" w:space="0" w:color="auto"/>
              <w:right w:val="nil"/>
            </w:tcBorders>
            <w:hideMark/>
          </w:tcPr>
          <w:p w:rsidR="006F2CBB" w:rsidRDefault="006F2CBB">
            <w:pPr>
              <w:jc w:val="center"/>
              <w:rPr>
                <w:rFonts w:ascii="Times New Roman" w:hAnsi="Times New Roman" w:cs="Times New Roman"/>
              </w:rPr>
            </w:pPr>
            <w:r>
              <w:rPr>
                <w:rFonts w:ascii="Times New Roman" w:hAnsi="Times New Roman" w:cs="Times New Roman"/>
              </w:rPr>
              <w:t>57%</w:t>
            </w:r>
          </w:p>
        </w:tc>
        <w:tc>
          <w:tcPr>
            <w:tcW w:w="2471" w:type="dxa"/>
            <w:tcBorders>
              <w:top w:val="nil"/>
              <w:left w:val="nil"/>
              <w:bottom w:val="single" w:sz="4" w:space="0" w:color="auto"/>
              <w:right w:val="nil"/>
            </w:tcBorders>
            <w:hideMark/>
          </w:tcPr>
          <w:p w:rsidR="006F2CBB" w:rsidRDefault="006F2CBB">
            <w:pPr>
              <w:jc w:val="center"/>
              <w:rPr>
                <w:rFonts w:ascii="Times New Roman" w:hAnsi="Times New Roman" w:cs="Times New Roman"/>
              </w:rPr>
            </w:pPr>
            <w:r>
              <w:rPr>
                <w:rFonts w:ascii="Times New Roman" w:hAnsi="Times New Roman" w:cs="Times New Roman"/>
              </w:rPr>
              <w:t>48%</w:t>
            </w:r>
          </w:p>
        </w:tc>
      </w:tr>
      <w:tr w:rsidR="006F2CBB" w:rsidTr="006F2CBB">
        <w:trPr>
          <w:trHeight w:val="534"/>
        </w:trPr>
        <w:tc>
          <w:tcPr>
            <w:tcW w:w="2477" w:type="dxa"/>
            <w:tcBorders>
              <w:top w:val="single" w:sz="4" w:space="0" w:color="auto"/>
              <w:left w:val="nil"/>
              <w:bottom w:val="nil"/>
              <w:right w:val="nil"/>
            </w:tcBorders>
            <w:hideMark/>
          </w:tcPr>
          <w:p w:rsidR="006F2CBB" w:rsidRDefault="006F2CBB">
            <w:pPr>
              <w:rPr>
                <w:rFonts w:ascii="Times New Roman" w:hAnsi="Times New Roman" w:cs="Times New Roman"/>
              </w:rPr>
            </w:pPr>
            <w:r>
              <w:rPr>
                <w:rFonts w:ascii="Times New Roman" w:hAnsi="Times New Roman" w:cs="Times New Roman"/>
              </w:rPr>
              <w:t>Patient level delay</w:t>
            </w:r>
          </w:p>
        </w:tc>
        <w:tc>
          <w:tcPr>
            <w:tcW w:w="2010" w:type="dxa"/>
            <w:tcBorders>
              <w:top w:val="single" w:sz="4" w:space="0" w:color="auto"/>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12 (3,31)</w:t>
            </w:r>
          </w:p>
        </w:tc>
        <w:tc>
          <w:tcPr>
            <w:tcW w:w="1931" w:type="dxa"/>
            <w:tcBorders>
              <w:top w:val="single" w:sz="4" w:space="0" w:color="auto"/>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10 (3,43)</w:t>
            </w:r>
          </w:p>
        </w:tc>
        <w:tc>
          <w:tcPr>
            <w:tcW w:w="2471" w:type="dxa"/>
            <w:tcBorders>
              <w:top w:val="single" w:sz="4" w:space="0" w:color="auto"/>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18 (14,27)</w:t>
            </w:r>
          </w:p>
        </w:tc>
      </w:tr>
      <w:tr w:rsidR="006F2CBB" w:rsidTr="006F2CBB">
        <w:trPr>
          <w:trHeight w:val="835"/>
        </w:trPr>
        <w:tc>
          <w:tcPr>
            <w:tcW w:w="2477" w:type="dxa"/>
            <w:tcBorders>
              <w:top w:val="nil"/>
              <w:left w:val="nil"/>
              <w:bottom w:val="nil"/>
              <w:right w:val="nil"/>
            </w:tcBorders>
            <w:hideMark/>
          </w:tcPr>
          <w:p w:rsidR="006F2CBB" w:rsidRDefault="006F2CBB">
            <w:pPr>
              <w:rPr>
                <w:rFonts w:ascii="Times New Roman" w:hAnsi="Times New Roman" w:cs="Times New Roman"/>
              </w:rPr>
            </w:pPr>
            <w:r>
              <w:rPr>
                <w:rFonts w:ascii="Times New Roman" w:hAnsi="Times New Roman" w:cs="Times New Roman"/>
              </w:rPr>
              <w:t>Health system level – diagnosis delay</w:t>
            </w:r>
          </w:p>
        </w:tc>
        <w:tc>
          <w:tcPr>
            <w:tcW w:w="2010" w:type="dxa"/>
            <w:tcBorders>
              <w:top w:val="nil"/>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5 (0,61)</w:t>
            </w:r>
          </w:p>
        </w:tc>
        <w:tc>
          <w:tcPr>
            <w:tcW w:w="1931" w:type="dxa"/>
            <w:tcBorders>
              <w:top w:val="nil"/>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19 (1,76)</w:t>
            </w:r>
          </w:p>
        </w:tc>
        <w:tc>
          <w:tcPr>
            <w:tcW w:w="2471" w:type="dxa"/>
            <w:tcBorders>
              <w:top w:val="nil"/>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31 (25,35)</w:t>
            </w:r>
          </w:p>
        </w:tc>
      </w:tr>
      <w:tr w:rsidR="006F2CBB" w:rsidTr="006F2CBB">
        <w:trPr>
          <w:trHeight w:val="876"/>
        </w:trPr>
        <w:tc>
          <w:tcPr>
            <w:tcW w:w="2477" w:type="dxa"/>
            <w:tcBorders>
              <w:top w:val="nil"/>
              <w:left w:val="nil"/>
              <w:bottom w:val="nil"/>
              <w:right w:val="nil"/>
            </w:tcBorders>
            <w:hideMark/>
          </w:tcPr>
          <w:p w:rsidR="006F2CBB" w:rsidRDefault="006F2CBB">
            <w:pPr>
              <w:rPr>
                <w:rFonts w:ascii="Times New Roman" w:hAnsi="Times New Roman" w:cs="Times New Roman"/>
              </w:rPr>
            </w:pPr>
            <w:r>
              <w:rPr>
                <w:rFonts w:ascii="Times New Roman" w:hAnsi="Times New Roman" w:cs="Times New Roman"/>
              </w:rPr>
              <w:t xml:space="preserve">Treatment initiation delay </w:t>
            </w:r>
          </w:p>
        </w:tc>
        <w:tc>
          <w:tcPr>
            <w:tcW w:w="2010" w:type="dxa"/>
            <w:tcBorders>
              <w:top w:val="nil"/>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4 (2,8)</w:t>
            </w:r>
          </w:p>
        </w:tc>
        <w:tc>
          <w:tcPr>
            <w:tcW w:w="1931" w:type="dxa"/>
            <w:tcBorders>
              <w:top w:val="nil"/>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2 (1,5)</w:t>
            </w:r>
          </w:p>
        </w:tc>
        <w:tc>
          <w:tcPr>
            <w:tcW w:w="2471" w:type="dxa"/>
            <w:tcBorders>
              <w:top w:val="nil"/>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3 (2, 4)</w:t>
            </w:r>
          </w:p>
        </w:tc>
      </w:tr>
      <w:tr w:rsidR="006F2CBB" w:rsidTr="006F2CBB">
        <w:trPr>
          <w:trHeight w:val="515"/>
        </w:trPr>
        <w:tc>
          <w:tcPr>
            <w:tcW w:w="2477" w:type="dxa"/>
            <w:tcBorders>
              <w:top w:val="nil"/>
              <w:left w:val="nil"/>
              <w:bottom w:val="nil"/>
              <w:right w:val="nil"/>
            </w:tcBorders>
            <w:hideMark/>
          </w:tcPr>
          <w:p w:rsidR="006F2CBB" w:rsidRDefault="006F2CBB">
            <w:pPr>
              <w:rPr>
                <w:rFonts w:ascii="Times New Roman" w:hAnsi="Times New Roman" w:cs="Times New Roman"/>
              </w:rPr>
            </w:pPr>
            <w:r>
              <w:rPr>
                <w:rFonts w:ascii="Times New Roman" w:hAnsi="Times New Roman" w:cs="Times New Roman"/>
              </w:rPr>
              <w:t>Total diagnosis delay</w:t>
            </w:r>
          </w:p>
        </w:tc>
        <w:tc>
          <w:tcPr>
            <w:tcW w:w="2010" w:type="dxa"/>
            <w:tcBorders>
              <w:top w:val="nil"/>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45 (18, 106)</w:t>
            </w:r>
          </w:p>
        </w:tc>
        <w:tc>
          <w:tcPr>
            <w:tcW w:w="1931" w:type="dxa"/>
            <w:tcBorders>
              <w:top w:val="nil"/>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61 (20,121)</w:t>
            </w:r>
          </w:p>
        </w:tc>
        <w:tc>
          <w:tcPr>
            <w:tcW w:w="2471" w:type="dxa"/>
            <w:tcBorders>
              <w:top w:val="nil"/>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w:t>
            </w:r>
          </w:p>
        </w:tc>
      </w:tr>
      <w:tr w:rsidR="006F2CBB" w:rsidTr="006F2CBB">
        <w:trPr>
          <w:trHeight w:val="233"/>
        </w:trPr>
        <w:tc>
          <w:tcPr>
            <w:tcW w:w="2477" w:type="dxa"/>
            <w:tcBorders>
              <w:top w:val="nil"/>
              <w:left w:val="nil"/>
              <w:bottom w:val="nil"/>
              <w:right w:val="nil"/>
            </w:tcBorders>
            <w:hideMark/>
          </w:tcPr>
          <w:p w:rsidR="006F2CBB" w:rsidRDefault="006F2CBB">
            <w:pPr>
              <w:rPr>
                <w:rFonts w:ascii="Times New Roman" w:hAnsi="Times New Roman" w:cs="Times New Roman"/>
              </w:rPr>
            </w:pPr>
            <w:r>
              <w:rPr>
                <w:rFonts w:ascii="Times New Roman" w:hAnsi="Times New Roman" w:cs="Times New Roman"/>
              </w:rPr>
              <w:t xml:space="preserve">Health system level </w:t>
            </w:r>
          </w:p>
        </w:tc>
        <w:tc>
          <w:tcPr>
            <w:tcW w:w="2010" w:type="dxa"/>
            <w:tcBorders>
              <w:top w:val="nil"/>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16 (3, 71)</w:t>
            </w:r>
          </w:p>
        </w:tc>
        <w:tc>
          <w:tcPr>
            <w:tcW w:w="1931" w:type="dxa"/>
            <w:tcBorders>
              <w:top w:val="nil"/>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23 (5,82)</w:t>
            </w:r>
          </w:p>
        </w:tc>
        <w:tc>
          <w:tcPr>
            <w:tcW w:w="2471" w:type="dxa"/>
            <w:tcBorders>
              <w:top w:val="nil"/>
              <w:left w:val="nil"/>
              <w:bottom w:val="nil"/>
              <w:right w:val="nil"/>
            </w:tcBorders>
            <w:hideMark/>
          </w:tcPr>
          <w:p w:rsidR="006F2CBB" w:rsidRDefault="006F2CBB">
            <w:pPr>
              <w:jc w:val="center"/>
              <w:rPr>
                <w:rFonts w:ascii="Times New Roman" w:hAnsi="Times New Roman" w:cs="Times New Roman"/>
              </w:rPr>
            </w:pPr>
            <w:r>
              <w:rPr>
                <w:rFonts w:ascii="Times New Roman" w:hAnsi="Times New Roman" w:cs="Times New Roman"/>
              </w:rPr>
              <w:t>-</w:t>
            </w:r>
          </w:p>
        </w:tc>
      </w:tr>
      <w:tr w:rsidR="006F2CBB" w:rsidTr="006F2CBB">
        <w:trPr>
          <w:trHeight w:val="233"/>
        </w:trPr>
        <w:tc>
          <w:tcPr>
            <w:tcW w:w="2477" w:type="dxa"/>
            <w:tcBorders>
              <w:top w:val="nil"/>
              <w:left w:val="nil"/>
              <w:bottom w:val="nil"/>
              <w:right w:val="nil"/>
            </w:tcBorders>
          </w:tcPr>
          <w:p w:rsidR="006F2CBB" w:rsidRDefault="006F2CBB">
            <w:pPr>
              <w:rPr>
                <w:rFonts w:ascii="Times New Roman" w:hAnsi="Times New Roman" w:cs="Times New Roman"/>
              </w:rPr>
            </w:pPr>
          </w:p>
        </w:tc>
        <w:tc>
          <w:tcPr>
            <w:tcW w:w="2010" w:type="dxa"/>
            <w:tcBorders>
              <w:top w:val="nil"/>
              <w:left w:val="nil"/>
              <w:bottom w:val="nil"/>
              <w:right w:val="nil"/>
            </w:tcBorders>
          </w:tcPr>
          <w:p w:rsidR="006F2CBB" w:rsidRDefault="006F2CBB">
            <w:pPr>
              <w:jc w:val="center"/>
              <w:rPr>
                <w:rFonts w:ascii="Times New Roman" w:hAnsi="Times New Roman" w:cs="Times New Roman"/>
              </w:rPr>
            </w:pPr>
          </w:p>
        </w:tc>
        <w:tc>
          <w:tcPr>
            <w:tcW w:w="1931" w:type="dxa"/>
            <w:tcBorders>
              <w:top w:val="nil"/>
              <w:left w:val="nil"/>
              <w:bottom w:val="nil"/>
              <w:right w:val="nil"/>
            </w:tcBorders>
          </w:tcPr>
          <w:p w:rsidR="006F2CBB" w:rsidRDefault="006F2CBB">
            <w:pPr>
              <w:jc w:val="center"/>
              <w:rPr>
                <w:rFonts w:ascii="Times New Roman" w:hAnsi="Times New Roman" w:cs="Times New Roman"/>
              </w:rPr>
            </w:pPr>
          </w:p>
        </w:tc>
        <w:tc>
          <w:tcPr>
            <w:tcW w:w="2471" w:type="dxa"/>
            <w:tcBorders>
              <w:top w:val="nil"/>
              <w:left w:val="nil"/>
              <w:bottom w:val="nil"/>
              <w:right w:val="nil"/>
            </w:tcBorders>
          </w:tcPr>
          <w:p w:rsidR="006F2CBB" w:rsidRDefault="006F2CBB">
            <w:pPr>
              <w:jc w:val="center"/>
              <w:rPr>
                <w:rFonts w:ascii="Times New Roman" w:hAnsi="Times New Roman" w:cs="Times New Roman"/>
              </w:rPr>
            </w:pPr>
          </w:p>
        </w:tc>
      </w:tr>
      <w:tr w:rsidR="006F2CBB" w:rsidTr="006F2CBB">
        <w:trPr>
          <w:trHeight w:val="530"/>
        </w:trPr>
        <w:tc>
          <w:tcPr>
            <w:tcW w:w="2477" w:type="dxa"/>
            <w:tcBorders>
              <w:top w:val="nil"/>
              <w:left w:val="nil"/>
              <w:bottom w:val="single" w:sz="4" w:space="0" w:color="auto"/>
              <w:right w:val="nil"/>
            </w:tcBorders>
            <w:hideMark/>
          </w:tcPr>
          <w:p w:rsidR="006F2CBB" w:rsidRDefault="006F2CBB">
            <w:pPr>
              <w:rPr>
                <w:rFonts w:ascii="Times New Roman" w:hAnsi="Times New Roman" w:cs="Times New Roman"/>
              </w:rPr>
            </w:pPr>
            <w:r>
              <w:rPr>
                <w:rFonts w:ascii="Times New Roman" w:hAnsi="Times New Roman" w:cs="Times New Roman"/>
              </w:rPr>
              <w:t>Total delay</w:t>
            </w:r>
          </w:p>
        </w:tc>
        <w:tc>
          <w:tcPr>
            <w:tcW w:w="2010" w:type="dxa"/>
            <w:tcBorders>
              <w:top w:val="nil"/>
              <w:left w:val="nil"/>
              <w:bottom w:val="single" w:sz="4" w:space="0" w:color="auto"/>
              <w:right w:val="nil"/>
            </w:tcBorders>
            <w:hideMark/>
          </w:tcPr>
          <w:p w:rsidR="006F2CBB" w:rsidRDefault="006F2CBB">
            <w:pPr>
              <w:jc w:val="center"/>
              <w:rPr>
                <w:rFonts w:ascii="Times New Roman" w:hAnsi="Times New Roman" w:cs="Times New Roman"/>
              </w:rPr>
            </w:pPr>
            <w:r>
              <w:rPr>
                <w:rFonts w:ascii="Times New Roman" w:hAnsi="Times New Roman" w:cs="Times New Roman"/>
              </w:rPr>
              <w:t>52 (22,112)</w:t>
            </w:r>
          </w:p>
        </w:tc>
        <w:tc>
          <w:tcPr>
            <w:tcW w:w="1931" w:type="dxa"/>
            <w:tcBorders>
              <w:top w:val="nil"/>
              <w:left w:val="nil"/>
              <w:bottom w:val="single" w:sz="4" w:space="0" w:color="auto"/>
              <w:right w:val="nil"/>
            </w:tcBorders>
            <w:hideMark/>
          </w:tcPr>
          <w:p w:rsidR="006F2CBB" w:rsidRDefault="006F2CBB">
            <w:pPr>
              <w:jc w:val="center"/>
              <w:rPr>
                <w:rFonts w:ascii="Times New Roman" w:hAnsi="Times New Roman" w:cs="Times New Roman"/>
              </w:rPr>
            </w:pPr>
            <w:r>
              <w:rPr>
                <w:rFonts w:ascii="Times New Roman" w:hAnsi="Times New Roman" w:cs="Times New Roman"/>
              </w:rPr>
              <w:t>62 (23, 128)</w:t>
            </w:r>
          </w:p>
        </w:tc>
        <w:tc>
          <w:tcPr>
            <w:tcW w:w="2471" w:type="dxa"/>
            <w:tcBorders>
              <w:top w:val="nil"/>
              <w:left w:val="nil"/>
              <w:bottom w:val="single" w:sz="4" w:space="0" w:color="auto"/>
              <w:right w:val="nil"/>
            </w:tcBorders>
            <w:hideMark/>
          </w:tcPr>
          <w:p w:rsidR="006F2CBB" w:rsidRDefault="006F2CBB">
            <w:pPr>
              <w:jc w:val="center"/>
              <w:rPr>
                <w:rFonts w:ascii="Times New Roman" w:hAnsi="Times New Roman" w:cs="Times New Roman"/>
              </w:rPr>
            </w:pPr>
            <w:r>
              <w:rPr>
                <w:rFonts w:ascii="Times New Roman" w:hAnsi="Times New Roman" w:cs="Times New Roman"/>
              </w:rPr>
              <w:t>55 (47-62)</w:t>
            </w:r>
          </w:p>
        </w:tc>
      </w:tr>
    </w:tbl>
    <w:p w:rsidR="006F2CBB" w:rsidRDefault="006F2CBB" w:rsidP="006F2CBB">
      <w:pPr>
        <w:spacing w:after="0" w:line="240" w:lineRule="auto"/>
        <w:rPr>
          <w:rFonts w:ascii="Times New Roman" w:hAnsi="Times New Roman" w:cs="Times New Roman"/>
        </w:rPr>
      </w:pPr>
      <w:r>
        <w:rPr>
          <w:rFonts w:ascii="Times New Roman" w:hAnsi="Times New Roman" w:cs="Times New Roman"/>
        </w:rPr>
        <w:t>TB – tuberculosis; SAMVAD – sensitization and advocacy in marginalised and vulnerable areas of the district (an active case finding strategy); HCP – health care provider; IQR – interquartile range</w:t>
      </w:r>
    </w:p>
    <w:p w:rsidR="006F2CBB" w:rsidRDefault="006F2CBB" w:rsidP="006F2CBB">
      <w:pPr>
        <w:rPr>
          <w:rFonts w:ascii="Times New Roman" w:hAnsi="Times New Roman" w:cs="Times New Roman"/>
        </w:rPr>
      </w:pPr>
      <w:r>
        <w:rPr>
          <w:rFonts w:ascii="Times New Roman" w:hAnsi="Times New Roman" w:cs="Times New Roman"/>
        </w:rPr>
        <w:t>*delay was calculated from symptom onset whereas in our study it was from the date of eligibility for sputum examination. All TB patients (irrespective of whether detected by PCF or ACF)</w:t>
      </w:r>
    </w:p>
    <w:p w:rsidR="006F2CBB" w:rsidRDefault="006F2CBB" w:rsidP="006F2CBB">
      <w:pPr>
        <w:rPr>
          <w:rFonts w:ascii="Times New Roman" w:hAnsi="Times New Roman" w:cs="Times New Roman"/>
          <w:sz w:val="24"/>
          <w:szCs w:val="24"/>
        </w:rPr>
      </w:pPr>
    </w:p>
    <w:p w:rsidR="006F2CBB" w:rsidRDefault="006F2CBB" w:rsidP="006F2CBB"/>
    <w:p w:rsidR="00A90262" w:rsidRDefault="00A90262">
      <w:bookmarkStart w:id="0" w:name="_GoBack"/>
      <w:bookmarkEnd w:id="0"/>
    </w:p>
    <w:sectPr w:rsidR="00A90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DC"/>
    <w:rsid w:val="001577DC"/>
    <w:rsid w:val="006F2CBB"/>
    <w:rsid w:val="00A902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C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C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997</Characters>
  <Application>Microsoft Office Word</Application>
  <DocSecurity>0</DocSecurity>
  <Lines>8</Lines>
  <Paragraphs>2</Paragraphs>
  <ScaleCrop>false</ScaleCrop>
  <Company>Hewlett-Packard Company</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 Shewade</dc:creator>
  <cp:keywords/>
  <dc:description/>
  <cp:lastModifiedBy>Hemant Shewade</cp:lastModifiedBy>
  <cp:revision>2</cp:revision>
  <dcterms:created xsi:type="dcterms:W3CDTF">2019-03-01T06:53:00Z</dcterms:created>
  <dcterms:modified xsi:type="dcterms:W3CDTF">2019-03-01T06:56:00Z</dcterms:modified>
</cp:coreProperties>
</file>