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3BDC" w14:textId="07579D95" w:rsidR="005F51D9" w:rsidRPr="00307377" w:rsidRDefault="00307377" w:rsidP="00307377">
      <w:pPr>
        <w:pStyle w:val="NoSpacing"/>
        <w:spacing w:line="480" w:lineRule="auto"/>
        <w:ind w:left="720" w:hanging="720"/>
        <w:rPr>
          <w:b/>
        </w:rPr>
      </w:pPr>
      <w:bookmarkStart w:id="0" w:name="_GoBack"/>
      <w:bookmarkEnd w:id="0"/>
      <w:proofErr w:type="gramStart"/>
      <w:r w:rsidRPr="00307377">
        <w:rPr>
          <w:b/>
          <w:szCs w:val="24"/>
        </w:rPr>
        <w:t>S2 Appendix</w:t>
      </w:r>
      <w:r>
        <w:rPr>
          <w:b/>
          <w:szCs w:val="24"/>
        </w:rPr>
        <w:t>.</w:t>
      </w:r>
      <w:proofErr w:type="gramEnd"/>
      <w:r w:rsidRPr="00307377">
        <w:rPr>
          <w:b/>
          <w:szCs w:val="24"/>
        </w:rPr>
        <w:t xml:space="preserve"> </w:t>
      </w:r>
      <w:r w:rsidR="00F423EA" w:rsidRPr="00307377">
        <w:rPr>
          <w:b/>
        </w:rPr>
        <w:t>Construction of the l</w:t>
      </w:r>
      <w:r w:rsidR="005F51D9" w:rsidRPr="00307377">
        <w:rPr>
          <w:b/>
        </w:rPr>
        <w:t>ogistic</w:t>
      </w:r>
      <w:r w:rsidR="00F423EA" w:rsidRPr="00307377">
        <w:rPr>
          <w:b/>
        </w:rPr>
        <w:t>-</w:t>
      </w:r>
      <w:r w:rsidR="005F51D9" w:rsidRPr="00307377">
        <w:rPr>
          <w:b/>
        </w:rPr>
        <w:t>growth model</w:t>
      </w:r>
    </w:p>
    <w:p w14:paraId="69FD2F9A" w14:textId="77777777" w:rsidR="005F51D9" w:rsidRPr="003D589F" w:rsidRDefault="005F51D9" w:rsidP="003D589F">
      <w:pPr>
        <w:spacing w:line="480" w:lineRule="auto"/>
        <w:rPr>
          <w:rFonts w:eastAsia="Times New Roman"/>
          <w:bCs/>
        </w:rPr>
      </w:pPr>
      <w:r w:rsidRPr="003D589F">
        <w:rPr>
          <w:rFonts w:eastAsia="Times New Roman"/>
          <w:bCs/>
        </w:rPr>
        <w:t>We used a simple age-structured logistic model of the form</w:t>
      </w:r>
    </w:p>
    <w:p w14:paraId="31180821" w14:textId="77777777" w:rsidR="005F51D9" w:rsidRPr="003D589F" w:rsidRDefault="005F51D9" w:rsidP="003D589F">
      <w:pPr>
        <w:spacing w:line="480" w:lineRule="auto"/>
        <w:ind w:firstLine="720"/>
        <w:rPr>
          <w:rFonts w:eastAsia="Times New Roman"/>
          <w:bCs/>
        </w:rPr>
      </w:pPr>
      <m:oMathPara>
        <m:oMath>
          <m:r>
            <w:rPr>
              <w:rFonts w:ascii="Cambria Math" w:eastAsia="Times New Roman" w:hAnsi="Cambria Math"/>
            </w:rPr>
            <m:t xml:space="preserve"> </m:t>
          </m:r>
          <m:f>
            <m:fPr>
              <m:ctrlPr>
                <w:rPr>
                  <w:rFonts w:ascii="Cambria Math" w:eastAsia="Times New Roman" w:hAnsi="Cambria Math"/>
                  <w:bCs/>
                  <w:i/>
                </w:rPr>
              </m:ctrlPr>
            </m:fPr>
            <m:num>
              <m:r>
                <w:rPr>
                  <w:rFonts w:ascii="Cambria Math" w:eastAsia="Times New Roman" w:hAnsi="Cambria Math"/>
                </w:rPr>
                <m:t>dJ</m:t>
              </m:r>
            </m:num>
            <m:den>
              <m:r>
                <w:rPr>
                  <w:rFonts w:ascii="Cambria Math" w:eastAsia="Times New Roman" w:hAnsi="Cambria Math"/>
                </w:rPr>
                <m:t>dt</m:t>
              </m:r>
            </m:den>
          </m:f>
          <m:r>
            <w:rPr>
              <w:rFonts w:ascii="Cambria Math" w:eastAsia="Times New Roman" w:hAnsi="Cambria Math"/>
            </w:rPr>
            <m:t>=rA-mJ</m:t>
          </m:r>
          <m:d>
            <m:dPr>
              <m:ctrlPr>
                <w:rPr>
                  <w:rFonts w:ascii="Cambria Math" w:eastAsia="Times New Roman" w:hAnsi="Cambria Math"/>
                  <w:bCs/>
                  <w:i/>
                </w:rPr>
              </m:ctrlPr>
            </m:dPr>
            <m:e>
              <m:r>
                <w:rPr>
                  <w:rFonts w:ascii="Cambria Math" w:eastAsia="Times New Roman" w:hAnsi="Cambria Math"/>
                </w:rPr>
                <m:t>1-</m:t>
              </m:r>
              <m:f>
                <m:fPr>
                  <m:ctrlPr>
                    <w:rPr>
                      <w:rFonts w:ascii="Cambria Math" w:eastAsia="Times New Roman" w:hAnsi="Cambria Math"/>
                      <w:bCs/>
                      <w:i/>
                    </w:rPr>
                  </m:ctrlPr>
                </m:fPr>
                <m:num>
                  <m:r>
                    <w:rPr>
                      <w:rFonts w:ascii="Cambria Math" w:eastAsia="Times New Roman" w:hAnsi="Cambria Math"/>
                    </w:rPr>
                    <m:t>A+J</m:t>
                  </m:r>
                </m:num>
                <m:den>
                  <m:r>
                    <w:rPr>
                      <w:rFonts w:ascii="Cambria Math" w:eastAsia="Times New Roman" w:hAnsi="Cambria Math"/>
                    </w:rPr>
                    <m:t>K</m:t>
                  </m:r>
                </m:den>
              </m:f>
            </m:e>
          </m:d>
          <m:r>
            <w:rPr>
              <w:rFonts w:ascii="Cambria Math" w:eastAsia="Times New Roman" w:hAnsi="Cambria Math"/>
            </w:rPr>
            <m:t>-</m:t>
          </m:r>
          <m:sSub>
            <m:sSubPr>
              <m:ctrlPr>
                <w:rPr>
                  <w:rFonts w:ascii="Cambria Math" w:eastAsia="Times New Roman" w:hAnsi="Cambria Math"/>
                  <w:bCs/>
                  <w:i/>
                </w:rPr>
              </m:ctrlPr>
            </m:sSubPr>
            <m:e>
              <m:r>
                <w:rPr>
                  <w:rFonts w:ascii="Cambria Math" w:eastAsia="Times New Roman" w:hAnsi="Cambria Math"/>
                </w:rPr>
                <m:t>d</m:t>
              </m:r>
            </m:e>
            <m:sub>
              <m:r>
                <w:rPr>
                  <w:rFonts w:ascii="Cambria Math" w:eastAsia="Times New Roman" w:hAnsi="Cambria Math"/>
                </w:rPr>
                <m:t>J</m:t>
              </m:r>
            </m:sub>
          </m:sSub>
          <m:r>
            <w:rPr>
              <w:rFonts w:ascii="Cambria Math" w:eastAsia="Times New Roman" w:hAnsi="Cambria Math"/>
            </w:rPr>
            <m:t>J</m:t>
          </m:r>
        </m:oMath>
      </m:oMathPara>
    </w:p>
    <w:p w14:paraId="01FCA406" w14:textId="77777777" w:rsidR="005F51D9" w:rsidRPr="003D589F" w:rsidRDefault="007858ED" w:rsidP="003D589F">
      <w:pPr>
        <w:spacing w:line="480" w:lineRule="auto"/>
        <w:ind w:firstLine="720"/>
        <w:rPr>
          <w:rFonts w:eastAsia="Times New Roman"/>
          <w:bCs/>
        </w:rPr>
      </w:pPr>
      <m:oMathPara>
        <m:oMath>
          <m:f>
            <m:fPr>
              <m:ctrlPr>
                <w:rPr>
                  <w:rFonts w:ascii="Cambria Math" w:eastAsia="Times New Roman" w:hAnsi="Cambria Math"/>
                  <w:bCs/>
                  <w:i/>
                </w:rPr>
              </m:ctrlPr>
            </m:fPr>
            <m:num>
              <m:r>
                <w:rPr>
                  <w:rFonts w:ascii="Cambria Math" w:eastAsia="Times New Roman" w:hAnsi="Cambria Math"/>
                </w:rPr>
                <m:t>dA</m:t>
              </m:r>
            </m:num>
            <m:den>
              <m:r>
                <w:rPr>
                  <w:rFonts w:ascii="Cambria Math" w:eastAsia="Times New Roman" w:hAnsi="Cambria Math"/>
                </w:rPr>
                <m:t>dt</m:t>
              </m:r>
            </m:den>
          </m:f>
          <m:r>
            <w:rPr>
              <w:rFonts w:ascii="Cambria Math" w:eastAsia="Times New Roman" w:hAnsi="Cambria Math"/>
            </w:rPr>
            <m:t>=mJ</m:t>
          </m:r>
          <m:d>
            <m:dPr>
              <m:ctrlPr>
                <w:rPr>
                  <w:rFonts w:ascii="Cambria Math" w:eastAsia="Times New Roman" w:hAnsi="Cambria Math"/>
                  <w:bCs/>
                  <w:i/>
                </w:rPr>
              </m:ctrlPr>
            </m:dPr>
            <m:e>
              <m:r>
                <w:rPr>
                  <w:rFonts w:ascii="Cambria Math" w:eastAsia="Times New Roman" w:hAnsi="Cambria Math"/>
                </w:rPr>
                <m:t>1-</m:t>
              </m:r>
              <m:f>
                <m:fPr>
                  <m:ctrlPr>
                    <w:rPr>
                      <w:rFonts w:ascii="Cambria Math" w:eastAsia="Times New Roman" w:hAnsi="Cambria Math"/>
                      <w:bCs/>
                      <w:i/>
                    </w:rPr>
                  </m:ctrlPr>
                </m:fPr>
                <m:num>
                  <m:r>
                    <w:rPr>
                      <w:rFonts w:ascii="Cambria Math" w:eastAsia="Times New Roman" w:hAnsi="Cambria Math"/>
                    </w:rPr>
                    <m:t>A+J</m:t>
                  </m:r>
                </m:num>
                <m:den>
                  <m:r>
                    <w:rPr>
                      <w:rFonts w:ascii="Cambria Math" w:eastAsia="Times New Roman" w:hAnsi="Cambria Math"/>
                    </w:rPr>
                    <m:t>K</m:t>
                  </m:r>
                </m:den>
              </m:f>
            </m:e>
          </m:d>
          <m:r>
            <w:rPr>
              <w:rFonts w:ascii="Cambria Math" w:eastAsia="Times New Roman" w:hAnsi="Cambria Math"/>
            </w:rPr>
            <m:t>-</m:t>
          </m:r>
          <m:sSub>
            <m:sSubPr>
              <m:ctrlPr>
                <w:rPr>
                  <w:rFonts w:ascii="Cambria Math" w:eastAsia="Times New Roman" w:hAnsi="Cambria Math"/>
                  <w:bCs/>
                  <w:i/>
                </w:rPr>
              </m:ctrlPr>
            </m:sSubPr>
            <m:e>
              <m:r>
                <w:rPr>
                  <w:rFonts w:ascii="Cambria Math" w:eastAsia="Times New Roman" w:hAnsi="Cambria Math"/>
                </w:rPr>
                <m:t>d</m:t>
              </m:r>
            </m:e>
            <m:sub>
              <m:r>
                <w:rPr>
                  <w:rFonts w:ascii="Cambria Math" w:eastAsia="Times New Roman" w:hAnsi="Cambria Math"/>
                </w:rPr>
                <m:t>A</m:t>
              </m:r>
            </m:sub>
          </m:sSub>
          <m:r>
            <w:rPr>
              <w:rFonts w:ascii="Cambria Math" w:eastAsia="Times New Roman" w:hAnsi="Cambria Math"/>
            </w:rPr>
            <m:t>A</m:t>
          </m:r>
        </m:oMath>
      </m:oMathPara>
    </w:p>
    <w:p w14:paraId="542D18F9" w14:textId="1A29547B" w:rsidR="005F51D9" w:rsidRPr="003D589F" w:rsidRDefault="005F51D9" w:rsidP="003D589F">
      <w:pPr>
        <w:spacing w:line="480" w:lineRule="auto"/>
      </w:pPr>
      <w:r w:rsidRPr="003D589F">
        <w:rPr>
          <w:rFonts w:eastAsia="Times New Roman"/>
          <w:bCs/>
        </w:rPr>
        <w:t xml:space="preserve">where </w:t>
      </w:r>
      <w:r w:rsidRPr="003D589F">
        <w:rPr>
          <w:rFonts w:eastAsia="Times New Roman"/>
          <w:bCs/>
          <w:i/>
        </w:rPr>
        <w:t>J</w:t>
      </w:r>
      <w:r w:rsidRPr="003D589F">
        <w:rPr>
          <w:rFonts w:eastAsia="Times New Roman"/>
          <w:bCs/>
        </w:rPr>
        <w:t xml:space="preserve"> and </w:t>
      </w:r>
      <w:r w:rsidRPr="003D589F">
        <w:rPr>
          <w:rFonts w:eastAsia="Times New Roman"/>
          <w:bCs/>
          <w:i/>
        </w:rPr>
        <w:t>A</w:t>
      </w:r>
      <w:r w:rsidRPr="003D589F">
        <w:rPr>
          <w:rFonts w:eastAsia="Times New Roman"/>
          <w:bCs/>
        </w:rPr>
        <w:t xml:space="preserve"> are the abundances of juveniles and adults, respectively; </w:t>
      </w:r>
      <w:r w:rsidRPr="003D589F">
        <w:rPr>
          <w:rFonts w:eastAsia="Times New Roman"/>
          <w:bCs/>
          <w:i/>
        </w:rPr>
        <w:t>r</w:t>
      </w:r>
      <w:r w:rsidRPr="003D589F">
        <w:rPr>
          <w:rFonts w:eastAsia="Times New Roman"/>
          <w:bCs/>
        </w:rPr>
        <w:t xml:space="preserve"> is the reproductive rate of adults; </w:t>
      </w:r>
      <w:r w:rsidRPr="003D589F">
        <w:rPr>
          <w:rFonts w:eastAsia="Times New Roman"/>
          <w:bCs/>
          <w:i/>
        </w:rPr>
        <w:t>m</w:t>
      </w:r>
      <w:r w:rsidRPr="003D589F">
        <w:rPr>
          <w:rFonts w:eastAsia="Times New Roman"/>
          <w:bCs/>
        </w:rPr>
        <w:t xml:space="preserve"> is the rate at which juveniles become sexually-mature adults; </w:t>
      </w:r>
      <w:proofErr w:type="spellStart"/>
      <w:r w:rsidRPr="003D589F">
        <w:rPr>
          <w:rFonts w:eastAsia="Times New Roman"/>
          <w:bCs/>
          <w:i/>
        </w:rPr>
        <w:t>d</w:t>
      </w:r>
      <w:r w:rsidRPr="003D589F">
        <w:rPr>
          <w:rFonts w:eastAsia="Times New Roman"/>
          <w:bCs/>
          <w:i/>
          <w:vertAlign w:val="subscript"/>
        </w:rPr>
        <w:t>J</w:t>
      </w:r>
      <w:proofErr w:type="spellEnd"/>
      <w:r w:rsidRPr="003D589F">
        <w:rPr>
          <w:rFonts w:eastAsia="Times New Roman"/>
          <w:bCs/>
        </w:rPr>
        <w:t xml:space="preserve"> and </w:t>
      </w:r>
      <w:proofErr w:type="spellStart"/>
      <w:r w:rsidRPr="003D589F">
        <w:rPr>
          <w:rFonts w:eastAsia="Times New Roman"/>
          <w:bCs/>
          <w:i/>
        </w:rPr>
        <w:t>d</w:t>
      </w:r>
      <w:r w:rsidRPr="003D589F">
        <w:rPr>
          <w:rFonts w:eastAsia="Times New Roman"/>
          <w:bCs/>
          <w:i/>
          <w:vertAlign w:val="subscript"/>
        </w:rPr>
        <w:t>A</w:t>
      </w:r>
      <w:proofErr w:type="spellEnd"/>
      <w:r w:rsidRPr="003D589F">
        <w:rPr>
          <w:rFonts w:eastAsia="Times New Roman"/>
          <w:bCs/>
        </w:rPr>
        <w:t xml:space="preserve"> are the respective death rates of juveniles and adults; and </w:t>
      </w:r>
      <w:r w:rsidRPr="003D589F">
        <w:rPr>
          <w:rFonts w:eastAsia="Times New Roman"/>
          <w:bCs/>
          <w:i/>
        </w:rPr>
        <w:t>K</w:t>
      </w:r>
      <w:r w:rsidRPr="003D589F">
        <w:rPr>
          <w:rFonts w:eastAsia="Times New Roman"/>
          <w:bCs/>
        </w:rPr>
        <w:t xml:space="preserve"> is the estimated carrying capacity of large-herbivore biomass in the system (see below). We assumed that density has an effect on maturation, such that juveniles recruit into adults at a rate that decreases as the population approaches </w:t>
      </w:r>
      <w:r w:rsidRPr="003D589F">
        <w:rPr>
          <w:rFonts w:eastAsia="Times New Roman"/>
          <w:bCs/>
          <w:i/>
        </w:rPr>
        <w:t>K</w:t>
      </w:r>
      <w:r w:rsidRPr="003D589F">
        <w:rPr>
          <w:rFonts w:eastAsia="Times New Roman"/>
          <w:bCs/>
        </w:rPr>
        <w:t xml:space="preserve">. We obtained species-specific data on body masses, age at sexual maturity, </w:t>
      </w:r>
      <w:proofErr w:type="spellStart"/>
      <w:r w:rsidRPr="003D589F">
        <w:rPr>
          <w:rFonts w:eastAsia="Times New Roman"/>
          <w:bCs/>
        </w:rPr>
        <w:t>interbirth</w:t>
      </w:r>
      <w:proofErr w:type="spellEnd"/>
      <w:r w:rsidRPr="003D589F">
        <w:rPr>
          <w:rFonts w:eastAsia="Times New Roman"/>
          <w:bCs/>
        </w:rPr>
        <w:t xml:space="preserve"> interval, and </w:t>
      </w:r>
      <w:r w:rsidR="00561E65">
        <w:rPr>
          <w:rFonts w:eastAsia="Times New Roman"/>
          <w:bCs/>
        </w:rPr>
        <w:t>‘</w:t>
      </w:r>
      <w:r w:rsidRPr="003D589F">
        <w:rPr>
          <w:rFonts w:eastAsia="Times New Roman"/>
          <w:bCs/>
        </w:rPr>
        <w:t>litter</w:t>
      </w:r>
      <w:r w:rsidR="00561E65">
        <w:rPr>
          <w:rFonts w:eastAsia="Times New Roman"/>
          <w:bCs/>
        </w:rPr>
        <w:t>’</w:t>
      </w:r>
      <w:r w:rsidRPr="003D589F">
        <w:rPr>
          <w:rFonts w:eastAsia="Times New Roman"/>
          <w:bCs/>
        </w:rPr>
        <w:t xml:space="preserve"> size from the </w:t>
      </w:r>
      <w:proofErr w:type="spellStart"/>
      <w:r w:rsidRPr="003D589F">
        <w:rPr>
          <w:rFonts w:eastAsia="Times New Roman"/>
          <w:bCs/>
        </w:rPr>
        <w:t>PanTHERIA</w:t>
      </w:r>
      <w:proofErr w:type="spellEnd"/>
      <w:r w:rsidRPr="003D589F">
        <w:rPr>
          <w:rFonts w:eastAsia="Times New Roman"/>
          <w:bCs/>
        </w:rPr>
        <w:t xml:space="preserve"> database </w:t>
      </w:r>
      <w:r w:rsidR="00AA5FB6">
        <w:rPr>
          <w:rFonts w:eastAsia="Times New Roman"/>
          <w:bCs/>
        </w:rPr>
        <w:t>[1]</w:t>
      </w:r>
      <w:r w:rsidRPr="003D589F">
        <w:rPr>
          <w:rFonts w:eastAsia="Times New Roman"/>
          <w:bCs/>
        </w:rPr>
        <w:t xml:space="preserve">. </w:t>
      </w:r>
      <w:proofErr w:type="gramStart"/>
      <w:r w:rsidRPr="003D589F">
        <w:t>Reproductive</w:t>
      </w:r>
      <w:r w:rsidR="00FD7F4E">
        <w:t xml:space="preserve"> </w:t>
      </w:r>
      <w:r w:rsidRPr="003D589F">
        <w:t xml:space="preserve"> rates</w:t>
      </w:r>
      <w:proofErr w:type="gramEnd"/>
      <w:r w:rsidRPr="003D589F">
        <w:t xml:space="preserve"> (number of offspring per female per year) </w:t>
      </w:r>
      <w:r w:rsidR="00561E65">
        <w:t>were</w:t>
      </w:r>
      <w:r w:rsidR="00561E65" w:rsidRPr="003D589F">
        <w:t xml:space="preserve"> </w:t>
      </w:r>
      <w:r w:rsidRPr="003D589F">
        <w:t xml:space="preserve">estimated from </w:t>
      </w:r>
      <w:proofErr w:type="spellStart"/>
      <w:r w:rsidRPr="003D589F">
        <w:t>interbirth</w:t>
      </w:r>
      <w:proofErr w:type="spellEnd"/>
      <w:r w:rsidRPr="003D589F">
        <w:t xml:space="preserve"> interval and litter size; because our model does not distinguish between males and females, we </w:t>
      </w:r>
      <w:r w:rsidRPr="003D589F">
        <w:rPr>
          <w:rFonts w:eastAsia="Times New Roman"/>
          <w:bCs/>
        </w:rPr>
        <w:t xml:space="preserve">divided this number by 2 </w:t>
      </w:r>
      <w:r w:rsidRPr="003D589F">
        <w:t>to estimate the reproductive rate (</w:t>
      </w:r>
      <w:r w:rsidRPr="003D589F">
        <w:rPr>
          <w:i/>
        </w:rPr>
        <w:t>r</w:t>
      </w:r>
      <w:r w:rsidRPr="003D589F">
        <w:t>) per adult individual per year</w:t>
      </w:r>
      <w:r w:rsidRPr="003D589F">
        <w:rPr>
          <w:rFonts w:eastAsia="Times New Roman"/>
          <w:bCs/>
        </w:rPr>
        <w:t xml:space="preserve">, assuming 50:50 sex ratios. </w:t>
      </w:r>
      <w:r w:rsidRPr="003D589F">
        <w:t>Death rates (</w:t>
      </w:r>
      <w:r w:rsidRPr="003D589F">
        <w:rPr>
          <w:i/>
        </w:rPr>
        <w:t>d</w:t>
      </w:r>
      <w:r w:rsidRPr="003D589F">
        <w:t xml:space="preserve">) were defined as the reciprocal of species’ average lifespan in captivity (e.g., waterbuck live 19 years, so per capita annual death rate </w:t>
      </w:r>
      <w:proofErr w:type="spellStart"/>
      <w:r w:rsidRPr="003D589F">
        <w:rPr>
          <w:rFonts w:eastAsia="Times New Roman"/>
          <w:bCs/>
          <w:i/>
        </w:rPr>
        <w:t>d</w:t>
      </w:r>
      <w:r w:rsidRPr="003D589F">
        <w:rPr>
          <w:rFonts w:eastAsia="Times New Roman"/>
          <w:bCs/>
          <w:i/>
          <w:vertAlign w:val="subscript"/>
        </w:rPr>
        <w:t>A</w:t>
      </w:r>
      <w:proofErr w:type="spellEnd"/>
      <w:r w:rsidRPr="003D589F">
        <w:rPr>
          <w:rFonts w:eastAsia="Times New Roman"/>
          <w:bCs/>
        </w:rPr>
        <w:t xml:space="preserve"> = </w:t>
      </w:r>
      <w:r w:rsidRPr="003D589F">
        <w:t>1/19 = 0.053). We used captive lifespans in lieu of published field estimates because predation is currently low and resources abundant in GNP, so individuals should survive to old age. We assumed equivalent death rates for adults and juveniles (</w:t>
      </w:r>
      <w:proofErr w:type="spellStart"/>
      <w:r w:rsidRPr="003D589F">
        <w:rPr>
          <w:rFonts w:eastAsia="Times New Roman"/>
          <w:bCs/>
          <w:i/>
        </w:rPr>
        <w:t>d</w:t>
      </w:r>
      <w:r w:rsidRPr="003D589F">
        <w:rPr>
          <w:rFonts w:eastAsia="Times New Roman"/>
          <w:bCs/>
          <w:i/>
          <w:vertAlign w:val="subscript"/>
        </w:rPr>
        <w:t>J</w:t>
      </w:r>
      <w:proofErr w:type="spellEnd"/>
      <w:r w:rsidRPr="003D589F">
        <w:rPr>
          <w:rFonts w:eastAsia="Times New Roman"/>
          <w:bCs/>
        </w:rPr>
        <w:t xml:space="preserve"> = </w:t>
      </w:r>
      <w:proofErr w:type="spellStart"/>
      <w:r w:rsidRPr="003D589F">
        <w:rPr>
          <w:rFonts w:eastAsia="Times New Roman"/>
          <w:bCs/>
          <w:i/>
        </w:rPr>
        <w:t>d</w:t>
      </w:r>
      <w:r w:rsidRPr="003D589F">
        <w:rPr>
          <w:rFonts w:eastAsia="Times New Roman"/>
          <w:bCs/>
          <w:i/>
          <w:vertAlign w:val="subscript"/>
        </w:rPr>
        <w:t>A</w:t>
      </w:r>
      <w:proofErr w:type="spellEnd"/>
      <w:r w:rsidRPr="003D589F">
        <w:rPr>
          <w:rFonts w:eastAsia="Times New Roman"/>
          <w:bCs/>
        </w:rPr>
        <w:t>).</w:t>
      </w:r>
      <w:r w:rsidRPr="003D589F">
        <w:t xml:space="preserve"> </w:t>
      </w:r>
      <w:r w:rsidRPr="003D589F">
        <w:rPr>
          <w:rFonts w:eastAsia="Times New Roman"/>
          <w:bCs/>
        </w:rPr>
        <w:t>Maturation rates (</w:t>
      </w:r>
      <w:r w:rsidRPr="003D589F">
        <w:rPr>
          <w:rFonts w:eastAsia="Times New Roman"/>
          <w:bCs/>
          <w:i/>
        </w:rPr>
        <w:t>m</w:t>
      </w:r>
      <w:r w:rsidRPr="003D589F">
        <w:rPr>
          <w:rFonts w:eastAsia="Times New Roman"/>
          <w:bCs/>
        </w:rPr>
        <w:t xml:space="preserve">) </w:t>
      </w:r>
      <w:r w:rsidR="00561E65">
        <w:rPr>
          <w:rFonts w:eastAsia="Times New Roman"/>
          <w:bCs/>
        </w:rPr>
        <w:t>were</w:t>
      </w:r>
      <w:r w:rsidR="00561E65" w:rsidRPr="003D589F">
        <w:rPr>
          <w:rFonts w:eastAsia="Times New Roman"/>
          <w:bCs/>
        </w:rPr>
        <w:t xml:space="preserve"> </w:t>
      </w:r>
      <w:r w:rsidRPr="003D589F">
        <w:rPr>
          <w:rFonts w:eastAsia="Times New Roman"/>
          <w:bCs/>
        </w:rPr>
        <w:t>calculated as the reciprocal of species’ age at sexual maturity. For the initial population size (</w:t>
      </w:r>
      <w:r w:rsidRPr="003D589F">
        <w:rPr>
          <w:rFonts w:eastAsia="Times New Roman"/>
          <w:bCs/>
          <w:i/>
        </w:rPr>
        <w:t>N</w:t>
      </w:r>
      <w:r w:rsidRPr="003D589F">
        <w:rPr>
          <w:rFonts w:eastAsia="Times New Roman"/>
          <w:bCs/>
          <w:vertAlign w:val="subscript"/>
        </w:rPr>
        <w:t>0</w:t>
      </w:r>
      <w:r w:rsidRPr="003D589F">
        <w:rPr>
          <w:rFonts w:eastAsia="Times New Roman"/>
          <w:bCs/>
        </w:rPr>
        <w:t xml:space="preserve">) of each species, we used values from the first post-war helicopter count (because helicopter counts are generally more accurate than fixed-wing counts: </w:t>
      </w:r>
      <w:r w:rsidR="00AA5FB6">
        <w:rPr>
          <w:rFonts w:eastAsia="Times New Roman"/>
          <w:bCs/>
        </w:rPr>
        <w:t>[2]</w:t>
      </w:r>
      <w:r w:rsidRPr="003D589F">
        <w:rPr>
          <w:rFonts w:eastAsia="Times New Roman"/>
          <w:bCs/>
        </w:rPr>
        <w:t xml:space="preserve">) in which </w:t>
      </w:r>
      <w:r w:rsidR="00561E65">
        <w:rPr>
          <w:rFonts w:eastAsia="Times New Roman"/>
          <w:bCs/>
        </w:rPr>
        <w:t>at least one</w:t>
      </w:r>
      <w:r w:rsidRPr="003D589F">
        <w:rPr>
          <w:rFonts w:eastAsia="Times New Roman"/>
          <w:bCs/>
        </w:rPr>
        <w:t xml:space="preserve"> individual was recorded (year 2000 </w:t>
      </w:r>
      <w:r w:rsidRPr="003D589F">
        <w:rPr>
          <w:rFonts w:eastAsia="Times New Roman"/>
          <w:bCs/>
        </w:rPr>
        <w:lastRenderedPageBreak/>
        <w:t>for</w:t>
      </w:r>
      <w:r w:rsidR="003939EF">
        <w:rPr>
          <w:rFonts w:eastAsia="Times New Roman"/>
          <w:bCs/>
        </w:rPr>
        <w:t xml:space="preserve"> waterbuck and hartebeest</w:t>
      </w:r>
      <w:r w:rsidRPr="003D589F">
        <w:rPr>
          <w:rFonts w:eastAsia="Times New Roman"/>
          <w:bCs/>
        </w:rPr>
        <w:t>). Logistic-growth models are sensitive to variation in</w:t>
      </w:r>
      <w:r w:rsidRPr="003D589F">
        <w:rPr>
          <w:rFonts w:eastAsia="Times New Roman"/>
          <w:bCs/>
          <w:i/>
        </w:rPr>
        <w:t xml:space="preserve"> N</w:t>
      </w:r>
      <w:r w:rsidRPr="003D589F">
        <w:rPr>
          <w:rFonts w:eastAsia="Times New Roman"/>
          <w:bCs/>
          <w:vertAlign w:val="subscript"/>
        </w:rPr>
        <w:t>0</w:t>
      </w:r>
      <w:r w:rsidRPr="003D589F">
        <w:rPr>
          <w:rFonts w:eastAsia="Times New Roman"/>
          <w:bCs/>
        </w:rPr>
        <w:t xml:space="preserve">, and count data can be biased upwards or downwards at very low population densities due to stochasticity in encounter rates; to account for the possibility of under- or over-counting, we fit models </w:t>
      </w:r>
      <w:r w:rsidR="003939EF">
        <w:rPr>
          <w:rFonts w:eastAsia="Times New Roman"/>
          <w:bCs/>
        </w:rPr>
        <w:t xml:space="preserve">for hartebeests </w:t>
      </w:r>
      <w:r w:rsidRPr="003D589F">
        <w:rPr>
          <w:rFonts w:eastAsia="Times New Roman"/>
          <w:bCs/>
        </w:rPr>
        <w:t>using (1) the observed initial-count value and (2) this value ± 50%.</w:t>
      </w:r>
    </w:p>
    <w:p w14:paraId="6123FB66" w14:textId="3E9AC0E9" w:rsidR="005F51D9" w:rsidRDefault="005F51D9" w:rsidP="003D589F">
      <w:pPr>
        <w:spacing w:line="480" w:lineRule="auto"/>
        <w:ind w:firstLine="720"/>
        <w:rPr>
          <w:rFonts w:eastAsia="Times New Roman"/>
          <w:bCs/>
        </w:rPr>
      </w:pPr>
      <w:r w:rsidRPr="003D589F">
        <w:rPr>
          <w:rFonts w:eastAsia="Times New Roman"/>
          <w:bCs/>
        </w:rPr>
        <w:t xml:space="preserve">Empirically estimating carrying capacity is challenging for any ecosystem and is therefore a source of uncertainty in such models. We derived three plausible estimates of the total large mammal herbivore carrying capacity,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rPr>
        <w:t xml:space="preserve">, using data from </w:t>
      </w:r>
      <w:r w:rsidR="00AA5FB6">
        <w:rPr>
          <w:rFonts w:eastAsia="Times New Roman"/>
          <w:bCs/>
        </w:rPr>
        <w:t>[3]</w:t>
      </w:r>
      <w:r w:rsidRPr="003D589F">
        <w:rPr>
          <w:rFonts w:eastAsia="Times New Roman"/>
          <w:bCs/>
        </w:rPr>
        <w:t xml:space="preserve"> on large-herbivore biomass as a function of rainfall in 31 landscapes throughout eastern and southern Africa. We plotted biomass data against rainfall (both log-transformed) and fit an ordinary least-squares regression model (</w:t>
      </w:r>
      <w:r w:rsidRPr="003D589F">
        <w:rPr>
          <w:rFonts w:eastAsia="Times New Roman"/>
          <w:bCs/>
          <w:i/>
        </w:rPr>
        <w:t>r</w:t>
      </w:r>
      <w:r w:rsidRPr="003D589F">
        <w:rPr>
          <w:rFonts w:eastAsia="Times New Roman"/>
          <w:bCs/>
          <w:vertAlign w:val="superscript"/>
        </w:rPr>
        <w:t>2</w:t>
      </w:r>
      <w:r w:rsidRPr="003D589F">
        <w:rPr>
          <w:rFonts w:eastAsia="Times New Roman"/>
          <w:bCs/>
        </w:rPr>
        <w:t xml:space="preserve">=0.77, </w:t>
      </w:r>
      <w:r w:rsidRPr="003D589F">
        <w:rPr>
          <w:rFonts w:eastAsia="Times New Roman"/>
          <w:bCs/>
          <w:i/>
        </w:rPr>
        <w:t>F</w:t>
      </w:r>
      <w:r w:rsidRPr="003D589F">
        <w:rPr>
          <w:rFonts w:eastAsia="Times New Roman"/>
          <w:bCs/>
          <w:vertAlign w:val="subscript"/>
        </w:rPr>
        <w:t>1</w:t>
      </w:r>
      <w:proofErr w:type="gramStart"/>
      <w:r w:rsidRPr="003D589F">
        <w:rPr>
          <w:rFonts w:eastAsia="Times New Roman"/>
          <w:bCs/>
          <w:vertAlign w:val="subscript"/>
        </w:rPr>
        <w:t>,29</w:t>
      </w:r>
      <w:proofErr w:type="gramEnd"/>
      <w:r w:rsidRPr="003D589F">
        <w:rPr>
          <w:rFonts w:eastAsia="Times New Roman"/>
          <w:bCs/>
        </w:rPr>
        <w:t>=97.07, P&lt;&lt;0.0001) along with 10</w:t>
      </w:r>
      <w:r w:rsidRPr="003D589F">
        <w:rPr>
          <w:rFonts w:eastAsia="Times New Roman"/>
          <w:bCs/>
          <w:vertAlign w:val="superscript"/>
        </w:rPr>
        <w:t>th</w:t>
      </w:r>
      <w:r w:rsidRPr="003D589F">
        <w:rPr>
          <w:rFonts w:eastAsia="Times New Roman"/>
          <w:bCs/>
        </w:rPr>
        <w:t xml:space="preserve"> and 90</w:t>
      </w:r>
      <w:r w:rsidRPr="003D589F">
        <w:rPr>
          <w:rFonts w:eastAsia="Times New Roman"/>
          <w:bCs/>
          <w:vertAlign w:val="superscript"/>
        </w:rPr>
        <w:t>th</w:t>
      </w:r>
      <w:r w:rsidRPr="003D589F">
        <w:rPr>
          <w:rFonts w:eastAsia="Times New Roman"/>
          <w:bCs/>
        </w:rPr>
        <w:t xml:space="preserve"> quantile regressions in R using the </w:t>
      </w:r>
      <w:proofErr w:type="spellStart"/>
      <w:r w:rsidRPr="003D589F">
        <w:rPr>
          <w:rFonts w:eastAsia="Times New Roman"/>
          <w:bCs/>
          <w:i/>
        </w:rPr>
        <w:t>quantreg</w:t>
      </w:r>
      <w:proofErr w:type="spellEnd"/>
      <w:r w:rsidRPr="003D589F">
        <w:rPr>
          <w:rFonts w:eastAsia="Times New Roman"/>
          <w:bCs/>
        </w:rPr>
        <w:t xml:space="preserve"> package </w:t>
      </w:r>
      <w:r w:rsidR="00AA5FB6">
        <w:rPr>
          <w:rFonts w:eastAsia="Times New Roman"/>
          <w:bCs/>
        </w:rPr>
        <w:t>[4]</w:t>
      </w:r>
      <w:r w:rsidRPr="003D589F">
        <w:rPr>
          <w:rFonts w:eastAsia="Times New Roman"/>
          <w:bCs/>
        </w:rPr>
        <w:t>. We used the fitted values from these regressions at a rainfall of 840 mm year</w:t>
      </w:r>
      <w:r w:rsidRPr="003D589F">
        <w:rPr>
          <w:rFonts w:eastAsia="Times New Roman"/>
          <w:bCs/>
          <w:vertAlign w:val="superscript"/>
        </w:rPr>
        <w:t>-1</w:t>
      </w:r>
      <w:r w:rsidRPr="003D589F">
        <w:rPr>
          <w:rFonts w:eastAsia="Times New Roman"/>
          <w:bCs/>
        </w:rPr>
        <w:t xml:space="preserve"> </w:t>
      </w:r>
      <w:r w:rsidR="00AA5FB6">
        <w:rPr>
          <w:rFonts w:eastAsia="Times New Roman"/>
          <w:bCs/>
        </w:rPr>
        <w:t>[5]</w:t>
      </w:r>
      <w:r w:rsidRPr="003D589F">
        <w:rPr>
          <w:rFonts w:eastAsia="Times New Roman"/>
          <w:bCs/>
        </w:rPr>
        <w:t xml:space="preserve"> to represent low, intermediate, and high estimates of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rPr>
        <w:t xml:space="preserve">, respectively (Fig. S1). This yielded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i/>
        </w:rPr>
        <w:t xml:space="preserve"> </w:t>
      </w:r>
      <w:r w:rsidRPr="003D589F">
        <w:rPr>
          <w:rFonts w:eastAsia="Times New Roman"/>
          <w:bCs/>
        </w:rPr>
        <w:t>estimates of 4790, 8310, and 16643 kg km</w:t>
      </w:r>
      <w:r w:rsidRPr="003D589F">
        <w:rPr>
          <w:rFonts w:eastAsia="Times New Roman"/>
          <w:bCs/>
          <w:vertAlign w:val="superscript"/>
        </w:rPr>
        <w:t>-2</w:t>
      </w:r>
      <w:r w:rsidRPr="003D589F">
        <w:rPr>
          <w:rFonts w:eastAsia="Times New Roman"/>
          <w:bCs/>
        </w:rPr>
        <w:t xml:space="preserve">. The intermediate estimate here is similar to that derived from summing the biomass-density estimates for all species in Tinley’s </w:t>
      </w:r>
      <w:r w:rsidR="00AA5FB6">
        <w:rPr>
          <w:rFonts w:eastAsia="Times New Roman"/>
          <w:bCs/>
        </w:rPr>
        <w:t>[5]</w:t>
      </w:r>
      <w:r w:rsidRPr="003D589F">
        <w:rPr>
          <w:rFonts w:eastAsia="Times New Roman"/>
          <w:bCs/>
        </w:rPr>
        <w:t xml:space="preserve"> pre-war counts from 1969, 1970, and 1972 for the subset of Rift Valley habitat circumscribed by the 2014–201</w:t>
      </w:r>
      <w:r w:rsidR="00FD7F4E">
        <w:rPr>
          <w:rFonts w:eastAsia="Times New Roman"/>
          <w:bCs/>
        </w:rPr>
        <w:t>8</w:t>
      </w:r>
      <w:r w:rsidRPr="003D589F">
        <w:rPr>
          <w:rFonts w:eastAsia="Times New Roman"/>
          <w:bCs/>
        </w:rPr>
        <w:t xml:space="preserve"> count block (</w:t>
      </w:r>
      <w:proofErr w:type="gramStart"/>
      <w:r w:rsidRPr="003D589F">
        <w:rPr>
          <w:rFonts w:eastAsia="Times New Roman"/>
          <w:bCs/>
        </w:rPr>
        <w:t>9,298  kg</w:t>
      </w:r>
      <w:proofErr w:type="gramEnd"/>
      <w:r w:rsidRPr="003D589F">
        <w:rPr>
          <w:rFonts w:eastAsia="Times New Roman"/>
          <w:bCs/>
        </w:rPr>
        <w:t xml:space="preserve"> km</w:t>
      </w:r>
      <w:r w:rsidRPr="003D589F">
        <w:rPr>
          <w:rFonts w:eastAsia="Times New Roman"/>
          <w:bCs/>
          <w:vertAlign w:val="superscript"/>
        </w:rPr>
        <w:t>-2</w:t>
      </w:r>
      <w:r w:rsidRPr="003D589F">
        <w:rPr>
          <w:rFonts w:eastAsia="Times New Roman"/>
          <w:bCs/>
        </w:rPr>
        <w:t xml:space="preserve">), suggesting that our range of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rPr>
        <w:t xml:space="preserve"> plausibly encompasses the true maximum density of large herbivores in this ecosystem. Given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rPr>
        <w:t>, we estimated the potential numerical carrying capacity (</w:t>
      </w:r>
      <w:r w:rsidRPr="003D589F">
        <w:rPr>
          <w:rFonts w:eastAsia="Times New Roman"/>
          <w:bCs/>
          <w:i/>
        </w:rPr>
        <w:t>K</w:t>
      </w:r>
      <w:r w:rsidRPr="003D589F">
        <w:rPr>
          <w:rFonts w:eastAsia="Times New Roman"/>
          <w:bCs/>
        </w:rPr>
        <w:t xml:space="preserve">) for each individual species by dividing </w:t>
      </w:r>
      <w:proofErr w:type="spellStart"/>
      <w:r w:rsidRPr="003D589F">
        <w:rPr>
          <w:rFonts w:eastAsia="Times New Roman"/>
          <w:bCs/>
          <w:i/>
        </w:rPr>
        <w:t>K</w:t>
      </w:r>
      <w:r w:rsidRPr="003D589F">
        <w:rPr>
          <w:rFonts w:eastAsia="Times New Roman"/>
          <w:bCs/>
          <w:i/>
          <w:vertAlign w:val="subscript"/>
        </w:rPr>
        <w:t>tot</w:t>
      </w:r>
      <w:proofErr w:type="spellEnd"/>
      <w:r w:rsidRPr="003D589F">
        <w:rPr>
          <w:rFonts w:eastAsia="Times New Roman"/>
          <w:bCs/>
        </w:rPr>
        <w:t xml:space="preserve"> by the adult body mass of that species; thus, intermediate carrying capacity for waterbuck (204.4 kg) is </w:t>
      </w:r>
      <w:r w:rsidRPr="003D589F">
        <w:rPr>
          <w:rFonts w:eastAsia="Times New Roman"/>
          <w:bCs/>
          <w:i/>
        </w:rPr>
        <w:t>K</w:t>
      </w:r>
      <w:r w:rsidRPr="003D589F">
        <w:rPr>
          <w:rFonts w:eastAsia="Times New Roman"/>
          <w:bCs/>
        </w:rPr>
        <w:t xml:space="preserve"> = 8310/204.4 = 40.66.</w:t>
      </w:r>
    </w:p>
    <w:p w14:paraId="329A6F9D" w14:textId="77777777" w:rsidR="00F16EFD" w:rsidRDefault="00F16EFD" w:rsidP="003D589F">
      <w:pPr>
        <w:spacing w:line="480" w:lineRule="auto"/>
        <w:ind w:firstLine="720"/>
        <w:rPr>
          <w:rFonts w:eastAsia="Times New Roman"/>
          <w:bCs/>
        </w:rPr>
      </w:pPr>
    </w:p>
    <w:p w14:paraId="06F441D3" w14:textId="79B109B3" w:rsidR="00CE14BC" w:rsidRPr="003D589F" w:rsidRDefault="00CE14BC" w:rsidP="003D589F">
      <w:pPr>
        <w:spacing w:line="480" w:lineRule="auto"/>
        <w:rPr>
          <w:b/>
        </w:rPr>
      </w:pPr>
      <w:r w:rsidRPr="003D589F">
        <w:rPr>
          <w:b/>
        </w:rPr>
        <w:t>References</w:t>
      </w:r>
    </w:p>
    <w:p w14:paraId="236469BD" w14:textId="42BBCCA3" w:rsidR="00AA5FB6" w:rsidRDefault="00AA5FB6" w:rsidP="00AA5FB6">
      <w:pPr>
        <w:pStyle w:val="NoSpacing"/>
        <w:spacing w:line="480" w:lineRule="auto"/>
        <w:ind w:left="270" w:hanging="270"/>
        <w:rPr>
          <w:szCs w:val="24"/>
        </w:rPr>
      </w:pPr>
      <w:r>
        <w:rPr>
          <w:szCs w:val="24"/>
        </w:rPr>
        <w:lastRenderedPageBreak/>
        <w:t xml:space="preserve">1. Jones, KE, </w:t>
      </w:r>
      <w:proofErr w:type="spellStart"/>
      <w:r w:rsidRPr="003D589F">
        <w:rPr>
          <w:szCs w:val="24"/>
        </w:rPr>
        <w:t>Bielby</w:t>
      </w:r>
      <w:proofErr w:type="spellEnd"/>
      <w:r w:rsidRPr="003D589F">
        <w:rPr>
          <w:szCs w:val="24"/>
        </w:rPr>
        <w:t xml:space="preserve">, J, </w:t>
      </w:r>
      <w:proofErr w:type="spellStart"/>
      <w:r w:rsidRPr="003D589F">
        <w:rPr>
          <w:szCs w:val="24"/>
        </w:rPr>
        <w:t>Cardillo</w:t>
      </w:r>
      <w:proofErr w:type="spellEnd"/>
      <w:r w:rsidRPr="003D589F">
        <w:rPr>
          <w:szCs w:val="24"/>
        </w:rPr>
        <w:t xml:space="preserve"> M, Fritz SA, O'Dell J, </w:t>
      </w:r>
      <w:r>
        <w:rPr>
          <w:szCs w:val="24"/>
        </w:rPr>
        <w:t>Orme</w:t>
      </w:r>
      <w:r w:rsidRPr="003D589F">
        <w:rPr>
          <w:szCs w:val="24"/>
        </w:rPr>
        <w:t xml:space="preserve"> </w:t>
      </w:r>
      <w:r>
        <w:rPr>
          <w:szCs w:val="24"/>
        </w:rPr>
        <w:t>CDL</w:t>
      </w:r>
      <w:r w:rsidRPr="003D589F">
        <w:rPr>
          <w:szCs w:val="24"/>
        </w:rPr>
        <w:t xml:space="preserve">, et al. </w:t>
      </w:r>
      <w:proofErr w:type="spellStart"/>
      <w:r w:rsidRPr="003D589F">
        <w:rPr>
          <w:szCs w:val="24"/>
        </w:rPr>
        <w:t>PanTHERIA</w:t>
      </w:r>
      <w:proofErr w:type="spellEnd"/>
      <w:r w:rsidRPr="003D589F">
        <w:rPr>
          <w:szCs w:val="24"/>
        </w:rPr>
        <w:t>: a species</w:t>
      </w:r>
      <w:r w:rsidRPr="003D589F">
        <w:rPr>
          <w:rFonts w:ascii="Cambria Math" w:hAnsi="Cambria Math" w:cs="Cambria Math"/>
          <w:szCs w:val="24"/>
        </w:rPr>
        <w:t>‐</w:t>
      </w:r>
      <w:r w:rsidRPr="003D589F">
        <w:rPr>
          <w:szCs w:val="24"/>
        </w:rPr>
        <w:t xml:space="preserve">level database of life history, ecology, and geography of extant and recently extinct mammals. </w:t>
      </w:r>
      <w:r w:rsidRPr="0028465C">
        <w:rPr>
          <w:szCs w:val="24"/>
        </w:rPr>
        <w:t>Ecology</w:t>
      </w:r>
      <w:r w:rsidRPr="003D589F">
        <w:rPr>
          <w:szCs w:val="24"/>
        </w:rPr>
        <w:t xml:space="preserve"> </w:t>
      </w:r>
      <w:r>
        <w:rPr>
          <w:szCs w:val="24"/>
        </w:rPr>
        <w:t>2009</w:t>
      </w:r>
      <w:proofErr w:type="gramStart"/>
      <w:r>
        <w:rPr>
          <w:szCs w:val="24"/>
        </w:rPr>
        <w:t>;</w:t>
      </w:r>
      <w:r w:rsidRPr="003D589F">
        <w:rPr>
          <w:szCs w:val="24"/>
        </w:rPr>
        <w:t>90</w:t>
      </w:r>
      <w:proofErr w:type="gramEnd"/>
      <w:r w:rsidRPr="003D589F">
        <w:rPr>
          <w:szCs w:val="24"/>
        </w:rPr>
        <w:t>:</w:t>
      </w:r>
      <w:r>
        <w:rPr>
          <w:szCs w:val="24"/>
        </w:rPr>
        <w:t xml:space="preserve"> </w:t>
      </w:r>
      <w:r w:rsidRPr="003D589F">
        <w:rPr>
          <w:szCs w:val="24"/>
        </w:rPr>
        <w:t>2648.</w:t>
      </w:r>
    </w:p>
    <w:p w14:paraId="4CA705C3" w14:textId="636688CF" w:rsidR="00013381" w:rsidRPr="003D589F" w:rsidRDefault="00AA5FB6" w:rsidP="00AA5FB6">
      <w:pPr>
        <w:pStyle w:val="NoSpacing"/>
        <w:spacing w:line="480" w:lineRule="auto"/>
        <w:ind w:left="270" w:hanging="270"/>
        <w:rPr>
          <w:szCs w:val="24"/>
        </w:rPr>
      </w:pPr>
      <w:r>
        <w:rPr>
          <w:szCs w:val="24"/>
        </w:rPr>
        <w:t xml:space="preserve">2. </w:t>
      </w:r>
      <w:proofErr w:type="spellStart"/>
      <w:r w:rsidR="00013381" w:rsidRPr="003D589F">
        <w:rPr>
          <w:szCs w:val="24"/>
        </w:rPr>
        <w:t>Bothma</w:t>
      </w:r>
      <w:proofErr w:type="spellEnd"/>
      <w:r w:rsidR="00013381" w:rsidRPr="003D589F">
        <w:rPr>
          <w:szCs w:val="24"/>
        </w:rPr>
        <w:t xml:space="preserve"> J. du P., Peel M.J.S., Pettit S. &amp; Grossman D. (1990) Evaluating the accuracy of some commonly used game-counting methods. </w:t>
      </w:r>
      <w:r w:rsidR="00013381" w:rsidRPr="003D589F">
        <w:rPr>
          <w:i/>
          <w:szCs w:val="24"/>
        </w:rPr>
        <w:t>South African Journal of Wildlife Research</w:t>
      </w:r>
      <w:r w:rsidR="00013381" w:rsidRPr="003D589F">
        <w:rPr>
          <w:szCs w:val="24"/>
        </w:rPr>
        <w:t xml:space="preserve"> 20:26-32.</w:t>
      </w:r>
    </w:p>
    <w:p w14:paraId="065D94F4" w14:textId="4F2E5EEF" w:rsidR="00013381" w:rsidRPr="003D589F" w:rsidRDefault="00AA5FB6" w:rsidP="00AA5FB6">
      <w:pPr>
        <w:pStyle w:val="NoSpacing"/>
        <w:spacing w:line="480" w:lineRule="auto"/>
        <w:ind w:left="270" w:hanging="270"/>
        <w:rPr>
          <w:szCs w:val="24"/>
        </w:rPr>
      </w:pPr>
      <w:r>
        <w:rPr>
          <w:szCs w:val="24"/>
        </w:rPr>
        <w:t xml:space="preserve">3. </w:t>
      </w:r>
      <w:r w:rsidR="00013381" w:rsidRPr="003D589F">
        <w:rPr>
          <w:szCs w:val="24"/>
        </w:rPr>
        <w:t xml:space="preserve">Coe MJ, Cumming DH &amp; Phillipson J (1976). Biomass and production of large African herbivores in relation to rainfall and primary production. </w:t>
      </w:r>
      <w:proofErr w:type="spellStart"/>
      <w:r w:rsidR="00013381" w:rsidRPr="003D589F">
        <w:rPr>
          <w:i/>
          <w:szCs w:val="24"/>
        </w:rPr>
        <w:t>Oecologia</w:t>
      </w:r>
      <w:proofErr w:type="spellEnd"/>
      <w:r w:rsidR="00013381" w:rsidRPr="003D589F">
        <w:rPr>
          <w:szCs w:val="24"/>
        </w:rPr>
        <w:t xml:space="preserve"> 22:341-354.</w:t>
      </w:r>
    </w:p>
    <w:p w14:paraId="066ED9EB" w14:textId="1D7CF7C4" w:rsidR="007240A1" w:rsidRPr="003D589F" w:rsidRDefault="00AA5FB6" w:rsidP="003D589F">
      <w:pPr>
        <w:pStyle w:val="NoSpacing"/>
        <w:spacing w:line="480" w:lineRule="auto"/>
        <w:ind w:left="720" w:hanging="720"/>
        <w:rPr>
          <w:szCs w:val="24"/>
        </w:rPr>
      </w:pPr>
      <w:r>
        <w:rPr>
          <w:rFonts w:eastAsia="Times New Roman"/>
          <w:bCs/>
          <w:szCs w:val="24"/>
        </w:rPr>
        <w:t xml:space="preserve">4. </w:t>
      </w:r>
      <w:proofErr w:type="spellStart"/>
      <w:r w:rsidR="007240A1" w:rsidRPr="003D589F">
        <w:rPr>
          <w:rFonts w:eastAsia="Times New Roman"/>
          <w:bCs/>
          <w:szCs w:val="24"/>
        </w:rPr>
        <w:t>Koenker</w:t>
      </w:r>
      <w:proofErr w:type="spellEnd"/>
      <w:r w:rsidR="007240A1" w:rsidRPr="003D589F">
        <w:rPr>
          <w:rFonts w:eastAsia="Times New Roman"/>
          <w:bCs/>
          <w:szCs w:val="24"/>
        </w:rPr>
        <w:t xml:space="preserve"> R (2016). Package ‘</w:t>
      </w:r>
      <w:proofErr w:type="spellStart"/>
      <w:r w:rsidR="007240A1" w:rsidRPr="003D589F">
        <w:rPr>
          <w:rFonts w:eastAsia="Times New Roman"/>
          <w:bCs/>
          <w:szCs w:val="24"/>
        </w:rPr>
        <w:t>quantreg</w:t>
      </w:r>
      <w:proofErr w:type="spellEnd"/>
      <w:r w:rsidR="007240A1" w:rsidRPr="003D589F">
        <w:rPr>
          <w:rFonts w:eastAsia="Times New Roman"/>
          <w:bCs/>
          <w:szCs w:val="24"/>
        </w:rPr>
        <w:t>.’ R package version 5.29.</w:t>
      </w:r>
    </w:p>
    <w:p w14:paraId="6DC02D13" w14:textId="08EF19AC" w:rsidR="00013381" w:rsidRPr="003D589F" w:rsidRDefault="00AA5FB6" w:rsidP="00AA5FB6">
      <w:pPr>
        <w:pStyle w:val="NoSpacing"/>
        <w:spacing w:line="480" w:lineRule="auto"/>
        <w:ind w:left="270" w:hanging="270"/>
        <w:rPr>
          <w:szCs w:val="24"/>
        </w:rPr>
      </w:pPr>
      <w:r>
        <w:rPr>
          <w:szCs w:val="24"/>
        </w:rPr>
        <w:t xml:space="preserve">5. </w:t>
      </w:r>
      <w:r w:rsidR="00013381" w:rsidRPr="003D589F">
        <w:rPr>
          <w:szCs w:val="24"/>
        </w:rPr>
        <w:t>Tinley KL (1977) Framework of the Gorongosa Ecosystem. Ph.D. thesis. University of Pretoria, South Africa.</w:t>
      </w:r>
    </w:p>
    <w:p w14:paraId="56331914" w14:textId="77777777" w:rsidR="007240A1" w:rsidRPr="003D589F" w:rsidRDefault="007240A1" w:rsidP="003D589F">
      <w:pPr>
        <w:spacing w:line="480" w:lineRule="auto"/>
        <w:rPr>
          <w:b/>
        </w:rPr>
      </w:pPr>
    </w:p>
    <w:p w14:paraId="578EDCB2" w14:textId="77777777" w:rsidR="00C22254" w:rsidRPr="003D589F" w:rsidRDefault="00C22254" w:rsidP="003D589F">
      <w:pPr>
        <w:spacing w:line="480" w:lineRule="auto"/>
        <w:rPr>
          <w:b/>
        </w:rPr>
      </w:pPr>
    </w:p>
    <w:p w14:paraId="34E7AEA7" w14:textId="77777777" w:rsidR="00C22254" w:rsidRPr="003D589F" w:rsidRDefault="00C22254" w:rsidP="003D589F">
      <w:pPr>
        <w:spacing w:line="480" w:lineRule="auto"/>
        <w:rPr>
          <w:b/>
        </w:rPr>
      </w:pPr>
    </w:p>
    <w:p w14:paraId="58D88F2E" w14:textId="77777777" w:rsidR="00C22254" w:rsidRPr="003D589F" w:rsidRDefault="00C22254" w:rsidP="003D589F">
      <w:pPr>
        <w:spacing w:line="480" w:lineRule="auto"/>
        <w:rPr>
          <w:b/>
        </w:rPr>
      </w:pPr>
    </w:p>
    <w:p w14:paraId="7BF2CE9B" w14:textId="77777777" w:rsidR="00DE0A3D" w:rsidRPr="003D589F" w:rsidRDefault="00DE0A3D" w:rsidP="003D589F">
      <w:pPr>
        <w:spacing w:line="480" w:lineRule="auto"/>
        <w:rPr>
          <w:b/>
        </w:rPr>
      </w:pPr>
    </w:p>
    <w:p w14:paraId="014F9C9F" w14:textId="3E53B51E" w:rsidR="002703B0" w:rsidRPr="003D589F" w:rsidRDefault="002703B0" w:rsidP="003D589F">
      <w:pPr>
        <w:spacing w:line="480" w:lineRule="auto"/>
        <w:rPr>
          <w:b/>
        </w:rPr>
      </w:pPr>
    </w:p>
    <w:sectPr w:rsidR="002703B0" w:rsidRPr="003D589F" w:rsidSect="001E3648">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890D0" w14:textId="77777777" w:rsidR="007858ED" w:rsidRDefault="007858ED">
      <w:r>
        <w:separator/>
      </w:r>
    </w:p>
  </w:endnote>
  <w:endnote w:type="continuationSeparator" w:id="0">
    <w:p w14:paraId="5520EC2D" w14:textId="77777777" w:rsidR="007858ED" w:rsidRDefault="0078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0605" w14:textId="77777777" w:rsidR="007858ED" w:rsidRDefault="007858ED">
      <w:r>
        <w:separator/>
      </w:r>
    </w:p>
  </w:footnote>
  <w:footnote w:type="continuationSeparator" w:id="0">
    <w:p w14:paraId="42A8A900" w14:textId="77777777" w:rsidR="007858ED" w:rsidRDefault="0078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765C"/>
    <w:multiLevelType w:val="hybridMultilevel"/>
    <w:tmpl w:val="3000B9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8B"/>
    <w:rsid w:val="00013381"/>
    <w:rsid w:val="00027A78"/>
    <w:rsid w:val="00051B91"/>
    <w:rsid w:val="00071304"/>
    <w:rsid w:val="00083C89"/>
    <w:rsid w:val="0009632B"/>
    <w:rsid w:val="000A7F87"/>
    <w:rsid w:val="000B4AFD"/>
    <w:rsid w:val="000D09B8"/>
    <w:rsid w:val="000F5A53"/>
    <w:rsid w:val="00115A97"/>
    <w:rsid w:val="00117BE5"/>
    <w:rsid w:val="001338DF"/>
    <w:rsid w:val="00133F0B"/>
    <w:rsid w:val="001429A5"/>
    <w:rsid w:val="0014515B"/>
    <w:rsid w:val="00153FAA"/>
    <w:rsid w:val="001611A3"/>
    <w:rsid w:val="0017423F"/>
    <w:rsid w:val="0018025E"/>
    <w:rsid w:val="0018074D"/>
    <w:rsid w:val="001A0179"/>
    <w:rsid w:val="001D1334"/>
    <w:rsid w:val="001D735D"/>
    <w:rsid w:val="001E3648"/>
    <w:rsid w:val="001F1D4D"/>
    <w:rsid w:val="001F4D3A"/>
    <w:rsid w:val="00200D7D"/>
    <w:rsid w:val="00210ECD"/>
    <w:rsid w:val="002151CA"/>
    <w:rsid w:val="00231860"/>
    <w:rsid w:val="00241D9E"/>
    <w:rsid w:val="0025384F"/>
    <w:rsid w:val="002703B0"/>
    <w:rsid w:val="0028465C"/>
    <w:rsid w:val="002877A3"/>
    <w:rsid w:val="002B037C"/>
    <w:rsid w:val="002B614F"/>
    <w:rsid w:val="002E291C"/>
    <w:rsid w:val="00307377"/>
    <w:rsid w:val="00326161"/>
    <w:rsid w:val="00337223"/>
    <w:rsid w:val="00351C83"/>
    <w:rsid w:val="00353457"/>
    <w:rsid w:val="0035563C"/>
    <w:rsid w:val="003643E1"/>
    <w:rsid w:val="00371F7C"/>
    <w:rsid w:val="003939EF"/>
    <w:rsid w:val="003A79A3"/>
    <w:rsid w:val="003D589F"/>
    <w:rsid w:val="003F153C"/>
    <w:rsid w:val="00401AB9"/>
    <w:rsid w:val="00402485"/>
    <w:rsid w:val="00431C96"/>
    <w:rsid w:val="00443654"/>
    <w:rsid w:val="00464B89"/>
    <w:rsid w:val="00467902"/>
    <w:rsid w:val="004717B1"/>
    <w:rsid w:val="0047204A"/>
    <w:rsid w:val="00476B3E"/>
    <w:rsid w:val="00481F38"/>
    <w:rsid w:val="004C7421"/>
    <w:rsid w:val="004D3C9F"/>
    <w:rsid w:val="004D3EA5"/>
    <w:rsid w:val="004E2223"/>
    <w:rsid w:val="00556300"/>
    <w:rsid w:val="00561E65"/>
    <w:rsid w:val="0058648B"/>
    <w:rsid w:val="00592027"/>
    <w:rsid w:val="005A6D73"/>
    <w:rsid w:val="005C3406"/>
    <w:rsid w:val="005D075D"/>
    <w:rsid w:val="005D4FEA"/>
    <w:rsid w:val="005D78AA"/>
    <w:rsid w:val="005F4C4B"/>
    <w:rsid w:val="005F51D9"/>
    <w:rsid w:val="0060117E"/>
    <w:rsid w:val="0061370C"/>
    <w:rsid w:val="0064377A"/>
    <w:rsid w:val="00652B3C"/>
    <w:rsid w:val="006556C5"/>
    <w:rsid w:val="00656296"/>
    <w:rsid w:val="00656CD4"/>
    <w:rsid w:val="0066729A"/>
    <w:rsid w:val="00667F84"/>
    <w:rsid w:val="00671F45"/>
    <w:rsid w:val="0068021C"/>
    <w:rsid w:val="006A7034"/>
    <w:rsid w:val="006B04E2"/>
    <w:rsid w:val="006B56E8"/>
    <w:rsid w:val="006D5665"/>
    <w:rsid w:val="006F502C"/>
    <w:rsid w:val="007111FE"/>
    <w:rsid w:val="0071196F"/>
    <w:rsid w:val="007177F0"/>
    <w:rsid w:val="007216DB"/>
    <w:rsid w:val="007240A1"/>
    <w:rsid w:val="0072448B"/>
    <w:rsid w:val="007406F5"/>
    <w:rsid w:val="007608E1"/>
    <w:rsid w:val="00772128"/>
    <w:rsid w:val="007858ED"/>
    <w:rsid w:val="007A3D16"/>
    <w:rsid w:val="007A69D3"/>
    <w:rsid w:val="007C30A8"/>
    <w:rsid w:val="007C6514"/>
    <w:rsid w:val="007D5511"/>
    <w:rsid w:val="007E5A11"/>
    <w:rsid w:val="007F182B"/>
    <w:rsid w:val="007F1E54"/>
    <w:rsid w:val="00801B97"/>
    <w:rsid w:val="00821ECA"/>
    <w:rsid w:val="00877A65"/>
    <w:rsid w:val="008B2969"/>
    <w:rsid w:val="008C5C6D"/>
    <w:rsid w:val="008C60AE"/>
    <w:rsid w:val="00903D93"/>
    <w:rsid w:val="009077A0"/>
    <w:rsid w:val="00915525"/>
    <w:rsid w:val="00924F23"/>
    <w:rsid w:val="00936E55"/>
    <w:rsid w:val="00944A70"/>
    <w:rsid w:val="009458DE"/>
    <w:rsid w:val="00972472"/>
    <w:rsid w:val="009844D3"/>
    <w:rsid w:val="009A124C"/>
    <w:rsid w:val="00A0140F"/>
    <w:rsid w:val="00A06108"/>
    <w:rsid w:val="00A21A1D"/>
    <w:rsid w:val="00A60482"/>
    <w:rsid w:val="00A62F89"/>
    <w:rsid w:val="00A77D96"/>
    <w:rsid w:val="00A942D7"/>
    <w:rsid w:val="00AA292D"/>
    <w:rsid w:val="00AA5FB6"/>
    <w:rsid w:val="00AD054A"/>
    <w:rsid w:val="00AE7681"/>
    <w:rsid w:val="00AF5C68"/>
    <w:rsid w:val="00B46AB0"/>
    <w:rsid w:val="00B52FC8"/>
    <w:rsid w:val="00B85019"/>
    <w:rsid w:val="00BC04A1"/>
    <w:rsid w:val="00BD4E67"/>
    <w:rsid w:val="00C13F88"/>
    <w:rsid w:val="00C14C37"/>
    <w:rsid w:val="00C1605C"/>
    <w:rsid w:val="00C22254"/>
    <w:rsid w:val="00C23A36"/>
    <w:rsid w:val="00C64419"/>
    <w:rsid w:val="00C72BAE"/>
    <w:rsid w:val="00C747D8"/>
    <w:rsid w:val="00C90634"/>
    <w:rsid w:val="00CA60A1"/>
    <w:rsid w:val="00CC25F0"/>
    <w:rsid w:val="00CC37E4"/>
    <w:rsid w:val="00CC3880"/>
    <w:rsid w:val="00CD52BD"/>
    <w:rsid w:val="00CE0C8C"/>
    <w:rsid w:val="00CE1357"/>
    <w:rsid w:val="00CE14BC"/>
    <w:rsid w:val="00CF226D"/>
    <w:rsid w:val="00D00180"/>
    <w:rsid w:val="00D242DD"/>
    <w:rsid w:val="00D537A6"/>
    <w:rsid w:val="00DB2CA9"/>
    <w:rsid w:val="00DC4C66"/>
    <w:rsid w:val="00DE0A3D"/>
    <w:rsid w:val="00DE215B"/>
    <w:rsid w:val="00E03D9B"/>
    <w:rsid w:val="00E05993"/>
    <w:rsid w:val="00E2045A"/>
    <w:rsid w:val="00E33044"/>
    <w:rsid w:val="00E42251"/>
    <w:rsid w:val="00E45A51"/>
    <w:rsid w:val="00E45F4E"/>
    <w:rsid w:val="00E771C7"/>
    <w:rsid w:val="00E80437"/>
    <w:rsid w:val="00ED734B"/>
    <w:rsid w:val="00F16EFD"/>
    <w:rsid w:val="00F257A6"/>
    <w:rsid w:val="00F423EA"/>
    <w:rsid w:val="00F53D9A"/>
    <w:rsid w:val="00F57679"/>
    <w:rsid w:val="00F755E0"/>
    <w:rsid w:val="00FD5B86"/>
    <w:rsid w:val="00FD7F4E"/>
    <w:rsid w:val="00FF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C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8B"/>
    <w:rPr>
      <w:rFonts w:eastAsiaTheme="minorHAnsi"/>
      <w:szCs w:val="22"/>
    </w:rPr>
  </w:style>
  <w:style w:type="character" w:styleId="LineNumber">
    <w:name w:val="line number"/>
    <w:basedOn w:val="DefaultParagraphFont"/>
    <w:uiPriority w:val="99"/>
    <w:semiHidden/>
    <w:unhideWhenUsed/>
    <w:rsid w:val="0072448B"/>
  </w:style>
  <w:style w:type="paragraph" w:styleId="BalloonText">
    <w:name w:val="Balloon Text"/>
    <w:basedOn w:val="Normal"/>
    <w:link w:val="BalloonTextChar"/>
    <w:uiPriority w:val="99"/>
    <w:semiHidden/>
    <w:unhideWhenUsed/>
    <w:rsid w:val="00724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51D9"/>
    <w:rPr>
      <w:sz w:val="16"/>
      <w:szCs w:val="16"/>
    </w:rPr>
  </w:style>
  <w:style w:type="paragraph" w:styleId="CommentText">
    <w:name w:val="annotation text"/>
    <w:basedOn w:val="Normal"/>
    <w:link w:val="CommentTextChar"/>
    <w:uiPriority w:val="99"/>
    <w:unhideWhenUsed/>
    <w:rsid w:val="005F51D9"/>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F51D9"/>
    <w:rPr>
      <w:rFonts w:eastAsiaTheme="minorHAnsi"/>
      <w:sz w:val="20"/>
      <w:szCs w:val="20"/>
    </w:rPr>
  </w:style>
  <w:style w:type="paragraph" w:styleId="Footer">
    <w:name w:val="footer"/>
    <w:basedOn w:val="Normal"/>
    <w:link w:val="FooterChar"/>
    <w:uiPriority w:val="99"/>
    <w:unhideWhenUsed/>
    <w:rsid w:val="003D589F"/>
    <w:pPr>
      <w:tabs>
        <w:tab w:val="center" w:pos="4320"/>
        <w:tab w:val="right" w:pos="8640"/>
      </w:tabs>
    </w:pPr>
    <w:rPr>
      <w:rFonts w:eastAsiaTheme="minorHAnsi"/>
      <w:szCs w:val="22"/>
    </w:rPr>
  </w:style>
  <w:style w:type="character" w:customStyle="1" w:styleId="FooterChar">
    <w:name w:val="Footer Char"/>
    <w:basedOn w:val="DefaultParagraphFont"/>
    <w:link w:val="Footer"/>
    <w:uiPriority w:val="99"/>
    <w:rsid w:val="003D589F"/>
    <w:rPr>
      <w:rFonts w:eastAsiaTheme="minorHAnsi"/>
      <w:szCs w:val="22"/>
    </w:rPr>
  </w:style>
  <w:style w:type="character" w:styleId="PageNumber">
    <w:name w:val="page number"/>
    <w:basedOn w:val="DefaultParagraphFont"/>
    <w:uiPriority w:val="99"/>
    <w:semiHidden/>
    <w:unhideWhenUsed/>
    <w:rsid w:val="003D589F"/>
  </w:style>
  <w:style w:type="table" w:styleId="TableGrid">
    <w:name w:val="Table Grid"/>
    <w:basedOn w:val="TableNormal"/>
    <w:uiPriority w:val="59"/>
    <w:rsid w:val="003D589F"/>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F4E"/>
    <w:pPr>
      <w:spacing w:after="0"/>
    </w:pPr>
    <w:rPr>
      <w:rFonts w:eastAsia="MS Mincho"/>
      <w:b/>
      <w:bCs/>
    </w:rPr>
  </w:style>
  <w:style w:type="character" w:customStyle="1" w:styleId="CommentSubjectChar">
    <w:name w:val="Comment Subject Char"/>
    <w:basedOn w:val="CommentTextChar"/>
    <w:link w:val="CommentSubject"/>
    <w:uiPriority w:val="99"/>
    <w:semiHidden/>
    <w:rsid w:val="00E45F4E"/>
    <w:rPr>
      <w:rFonts w:eastAsiaTheme="minorHAnsi"/>
      <w:b/>
      <w:bCs/>
      <w:sz w:val="20"/>
      <w:szCs w:val="20"/>
    </w:rPr>
  </w:style>
  <w:style w:type="paragraph" w:styleId="ListParagraph">
    <w:name w:val="List Paragraph"/>
    <w:basedOn w:val="Normal"/>
    <w:uiPriority w:val="34"/>
    <w:qFormat/>
    <w:rsid w:val="00C2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8B"/>
    <w:rPr>
      <w:rFonts w:eastAsiaTheme="minorHAnsi"/>
      <w:szCs w:val="22"/>
    </w:rPr>
  </w:style>
  <w:style w:type="character" w:styleId="LineNumber">
    <w:name w:val="line number"/>
    <w:basedOn w:val="DefaultParagraphFont"/>
    <w:uiPriority w:val="99"/>
    <w:semiHidden/>
    <w:unhideWhenUsed/>
    <w:rsid w:val="0072448B"/>
  </w:style>
  <w:style w:type="paragraph" w:styleId="BalloonText">
    <w:name w:val="Balloon Text"/>
    <w:basedOn w:val="Normal"/>
    <w:link w:val="BalloonTextChar"/>
    <w:uiPriority w:val="99"/>
    <w:semiHidden/>
    <w:unhideWhenUsed/>
    <w:rsid w:val="00724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51D9"/>
    <w:rPr>
      <w:sz w:val="16"/>
      <w:szCs w:val="16"/>
    </w:rPr>
  </w:style>
  <w:style w:type="paragraph" w:styleId="CommentText">
    <w:name w:val="annotation text"/>
    <w:basedOn w:val="Normal"/>
    <w:link w:val="CommentTextChar"/>
    <w:uiPriority w:val="99"/>
    <w:unhideWhenUsed/>
    <w:rsid w:val="005F51D9"/>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F51D9"/>
    <w:rPr>
      <w:rFonts w:eastAsiaTheme="minorHAnsi"/>
      <w:sz w:val="20"/>
      <w:szCs w:val="20"/>
    </w:rPr>
  </w:style>
  <w:style w:type="paragraph" w:styleId="Footer">
    <w:name w:val="footer"/>
    <w:basedOn w:val="Normal"/>
    <w:link w:val="FooterChar"/>
    <w:uiPriority w:val="99"/>
    <w:unhideWhenUsed/>
    <w:rsid w:val="003D589F"/>
    <w:pPr>
      <w:tabs>
        <w:tab w:val="center" w:pos="4320"/>
        <w:tab w:val="right" w:pos="8640"/>
      </w:tabs>
    </w:pPr>
    <w:rPr>
      <w:rFonts w:eastAsiaTheme="minorHAnsi"/>
      <w:szCs w:val="22"/>
    </w:rPr>
  </w:style>
  <w:style w:type="character" w:customStyle="1" w:styleId="FooterChar">
    <w:name w:val="Footer Char"/>
    <w:basedOn w:val="DefaultParagraphFont"/>
    <w:link w:val="Footer"/>
    <w:uiPriority w:val="99"/>
    <w:rsid w:val="003D589F"/>
    <w:rPr>
      <w:rFonts w:eastAsiaTheme="minorHAnsi"/>
      <w:szCs w:val="22"/>
    </w:rPr>
  </w:style>
  <w:style w:type="character" w:styleId="PageNumber">
    <w:name w:val="page number"/>
    <w:basedOn w:val="DefaultParagraphFont"/>
    <w:uiPriority w:val="99"/>
    <w:semiHidden/>
    <w:unhideWhenUsed/>
    <w:rsid w:val="003D589F"/>
  </w:style>
  <w:style w:type="table" w:styleId="TableGrid">
    <w:name w:val="Table Grid"/>
    <w:basedOn w:val="TableNormal"/>
    <w:uiPriority w:val="59"/>
    <w:rsid w:val="003D589F"/>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F4E"/>
    <w:pPr>
      <w:spacing w:after="0"/>
    </w:pPr>
    <w:rPr>
      <w:rFonts w:eastAsia="MS Mincho"/>
      <w:b/>
      <w:bCs/>
    </w:rPr>
  </w:style>
  <w:style w:type="character" w:customStyle="1" w:styleId="CommentSubjectChar">
    <w:name w:val="Comment Subject Char"/>
    <w:basedOn w:val="CommentTextChar"/>
    <w:link w:val="CommentSubject"/>
    <w:uiPriority w:val="99"/>
    <w:semiHidden/>
    <w:rsid w:val="00E45F4E"/>
    <w:rPr>
      <w:rFonts w:eastAsiaTheme="minorHAnsi"/>
      <w:b/>
      <w:bCs/>
      <w:sz w:val="20"/>
      <w:szCs w:val="20"/>
    </w:rPr>
  </w:style>
  <w:style w:type="paragraph" w:styleId="ListParagraph">
    <w:name w:val="List Paragraph"/>
    <w:basedOn w:val="Normal"/>
    <w:uiPriority w:val="34"/>
    <w:qFormat/>
    <w:rsid w:val="00C2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908">
      <w:bodyDiv w:val="1"/>
      <w:marLeft w:val="0"/>
      <w:marRight w:val="0"/>
      <w:marTop w:val="0"/>
      <w:marBottom w:val="0"/>
      <w:divBdr>
        <w:top w:val="none" w:sz="0" w:space="0" w:color="auto"/>
        <w:left w:val="none" w:sz="0" w:space="0" w:color="auto"/>
        <w:bottom w:val="none" w:sz="0" w:space="0" w:color="auto"/>
        <w:right w:val="none" w:sz="0" w:space="0" w:color="auto"/>
      </w:divBdr>
    </w:div>
    <w:div w:id="602231861">
      <w:bodyDiv w:val="1"/>
      <w:marLeft w:val="0"/>
      <w:marRight w:val="0"/>
      <w:marTop w:val="0"/>
      <w:marBottom w:val="0"/>
      <w:divBdr>
        <w:top w:val="none" w:sz="0" w:space="0" w:color="auto"/>
        <w:left w:val="none" w:sz="0" w:space="0" w:color="auto"/>
        <w:bottom w:val="none" w:sz="0" w:space="0" w:color="auto"/>
        <w:right w:val="none" w:sz="0" w:space="0" w:color="auto"/>
      </w:divBdr>
    </w:div>
    <w:div w:id="669452609">
      <w:bodyDiv w:val="1"/>
      <w:marLeft w:val="0"/>
      <w:marRight w:val="0"/>
      <w:marTop w:val="0"/>
      <w:marBottom w:val="0"/>
      <w:divBdr>
        <w:top w:val="none" w:sz="0" w:space="0" w:color="auto"/>
        <w:left w:val="none" w:sz="0" w:space="0" w:color="auto"/>
        <w:bottom w:val="none" w:sz="0" w:space="0" w:color="auto"/>
        <w:right w:val="none" w:sz="0" w:space="0" w:color="auto"/>
      </w:divBdr>
    </w:div>
    <w:div w:id="684136378">
      <w:bodyDiv w:val="1"/>
      <w:marLeft w:val="0"/>
      <w:marRight w:val="0"/>
      <w:marTop w:val="0"/>
      <w:marBottom w:val="0"/>
      <w:divBdr>
        <w:top w:val="none" w:sz="0" w:space="0" w:color="auto"/>
        <w:left w:val="none" w:sz="0" w:space="0" w:color="auto"/>
        <w:bottom w:val="none" w:sz="0" w:space="0" w:color="auto"/>
        <w:right w:val="none" w:sz="0" w:space="0" w:color="auto"/>
      </w:divBdr>
    </w:div>
    <w:div w:id="726760261">
      <w:bodyDiv w:val="1"/>
      <w:marLeft w:val="0"/>
      <w:marRight w:val="0"/>
      <w:marTop w:val="0"/>
      <w:marBottom w:val="0"/>
      <w:divBdr>
        <w:top w:val="none" w:sz="0" w:space="0" w:color="auto"/>
        <w:left w:val="none" w:sz="0" w:space="0" w:color="auto"/>
        <w:bottom w:val="none" w:sz="0" w:space="0" w:color="auto"/>
        <w:right w:val="none" w:sz="0" w:space="0" w:color="auto"/>
      </w:divBdr>
    </w:div>
    <w:div w:id="924385461">
      <w:bodyDiv w:val="1"/>
      <w:marLeft w:val="0"/>
      <w:marRight w:val="0"/>
      <w:marTop w:val="0"/>
      <w:marBottom w:val="0"/>
      <w:divBdr>
        <w:top w:val="none" w:sz="0" w:space="0" w:color="auto"/>
        <w:left w:val="none" w:sz="0" w:space="0" w:color="auto"/>
        <w:bottom w:val="none" w:sz="0" w:space="0" w:color="auto"/>
        <w:right w:val="none" w:sz="0" w:space="0" w:color="auto"/>
      </w:divBdr>
    </w:div>
    <w:div w:id="1128546047">
      <w:bodyDiv w:val="1"/>
      <w:marLeft w:val="0"/>
      <w:marRight w:val="0"/>
      <w:marTop w:val="0"/>
      <w:marBottom w:val="0"/>
      <w:divBdr>
        <w:top w:val="none" w:sz="0" w:space="0" w:color="auto"/>
        <w:left w:val="none" w:sz="0" w:space="0" w:color="auto"/>
        <w:bottom w:val="none" w:sz="0" w:space="0" w:color="auto"/>
        <w:right w:val="none" w:sz="0" w:space="0" w:color="auto"/>
      </w:divBdr>
    </w:div>
    <w:div w:id="1402219917">
      <w:bodyDiv w:val="1"/>
      <w:marLeft w:val="0"/>
      <w:marRight w:val="0"/>
      <w:marTop w:val="0"/>
      <w:marBottom w:val="0"/>
      <w:divBdr>
        <w:top w:val="none" w:sz="0" w:space="0" w:color="auto"/>
        <w:left w:val="none" w:sz="0" w:space="0" w:color="auto"/>
        <w:bottom w:val="none" w:sz="0" w:space="0" w:color="auto"/>
        <w:right w:val="none" w:sz="0" w:space="0" w:color="auto"/>
      </w:divBdr>
    </w:div>
    <w:div w:id="1474446591">
      <w:bodyDiv w:val="1"/>
      <w:marLeft w:val="0"/>
      <w:marRight w:val="0"/>
      <w:marTop w:val="0"/>
      <w:marBottom w:val="0"/>
      <w:divBdr>
        <w:top w:val="none" w:sz="0" w:space="0" w:color="auto"/>
        <w:left w:val="none" w:sz="0" w:space="0" w:color="auto"/>
        <w:bottom w:val="none" w:sz="0" w:space="0" w:color="auto"/>
        <w:right w:val="none" w:sz="0" w:space="0" w:color="auto"/>
      </w:divBdr>
    </w:div>
    <w:div w:id="1695034877">
      <w:bodyDiv w:val="1"/>
      <w:marLeft w:val="0"/>
      <w:marRight w:val="0"/>
      <w:marTop w:val="0"/>
      <w:marBottom w:val="0"/>
      <w:divBdr>
        <w:top w:val="none" w:sz="0" w:space="0" w:color="auto"/>
        <w:left w:val="none" w:sz="0" w:space="0" w:color="auto"/>
        <w:bottom w:val="none" w:sz="0" w:space="0" w:color="auto"/>
        <w:right w:val="none" w:sz="0" w:space="0" w:color="auto"/>
      </w:divBdr>
    </w:div>
    <w:div w:id="1719746280">
      <w:bodyDiv w:val="1"/>
      <w:marLeft w:val="0"/>
      <w:marRight w:val="0"/>
      <w:marTop w:val="0"/>
      <w:marBottom w:val="0"/>
      <w:divBdr>
        <w:top w:val="none" w:sz="0" w:space="0" w:color="auto"/>
        <w:left w:val="none" w:sz="0" w:space="0" w:color="auto"/>
        <w:bottom w:val="none" w:sz="0" w:space="0" w:color="auto"/>
        <w:right w:val="none" w:sz="0" w:space="0" w:color="auto"/>
      </w:divBdr>
    </w:div>
    <w:div w:id="1753699897">
      <w:bodyDiv w:val="1"/>
      <w:marLeft w:val="0"/>
      <w:marRight w:val="0"/>
      <w:marTop w:val="0"/>
      <w:marBottom w:val="0"/>
      <w:divBdr>
        <w:top w:val="none" w:sz="0" w:space="0" w:color="auto"/>
        <w:left w:val="none" w:sz="0" w:space="0" w:color="auto"/>
        <w:bottom w:val="none" w:sz="0" w:space="0" w:color="auto"/>
        <w:right w:val="none" w:sz="0" w:space="0" w:color="auto"/>
      </w:divBdr>
    </w:div>
    <w:div w:id="1834759012">
      <w:bodyDiv w:val="1"/>
      <w:marLeft w:val="0"/>
      <w:marRight w:val="0"/>
      <w:marTop w:val="0"/>
      <w:marBottom w:val="0"/>
      <w:divBdr>
        <w:top w:val="none" w:sz="0" w:space="0" w:color="auto"/>
        <w:left w:val="none" w:sz="0" w:space="0" w:color="auto"/>
        <w:bottom w:val="none" w:sz="0" w:space="0" w:color="auto"/>
        <w:right w:val="none" w:sz="0" w:space="0" w:color="auto"/>
      </w:divBdr>
    </w:div>
    <w:div w:id="1888183803">
      <w:bodyDiv w:val="1"/>
      <w:marLeft w:val="0"/>
      <w:marRight w:val="0"/>
      <w:marTop w:val="0"/>
      <w:marBottom w:val="0"/>
      <w:divBdr>
        <w:top w:val="none" w:sz="0" w:space="0" w:color="auto"/>
        <w:left w:val="none" w:sz="0" w:space="0" w:color="auto"/>
        <w:bottom w:val="none" w:sz="0" w:space="0" w:color="auto"/>
        <w:right w:val="none" w:sz="0" w:space="0" w:color="auto"/>
      </w:divBdr>
    </w:div>
    <w:div w:id="2043047410">
      <w:bodyDiv w:val="1"/>
      <w:marLeft w:val="0"/>
      <w:marRight w:val="0"/>
      <w:marTop w:val="0"/>
      <w:marBottom w:val="0"/>
      <w:divBdr>
        <w:top w:val="none" w:sz="0" w:space="0" w:color="auto"/>
        <w:left w:val="none" w:sz="0" w:space="0" w:color="auto"/>
        <w:bottom w:val="none" w:sz="0" w:space="0" w:color="auto"/>
        <w:right w:val="none" w:sz="0" w:space="0" w:color="auto"/>
      </w:divBdr>
    </w:div>
    <w:div w:id="209801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Pringle</dc:creator>
  <cp:lastModifiedBy>Marc</cp:lastModifiedBy>
  <cp:revision>3</cp:revision>
  <dcterms:created xsi:type="dcterms:W3CDTF">2019-02-14T09:34:00Z</dcterms:created>
  <dcterms:modified xsi:type="dcterms:W3CDTF">2019-02-14T09:34:00Z</dcterms:modified>
</cp:coreProperties>
</file>