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0B" w:rsidRPr="0009740B" w:rsidRDefault="00D03F35" w:rsidP="0009740B">
      <w:pPr>
        <w:rPr>
          <w:rFonts w:ascii="Times New Roman" w:eastAsia="Times New Roman" w:hAnsi="Times New Roman" w:cs="Times New Roman"/>
          <w:b/>
          <w:color w:val="222222"/>
          <w:spacing w:val="3"/>
          <w:kern w:val="36"/>
          <w:sz w:val="24"/>
          <w:szCs w:val="20"/>
          <w:lang w:val="en-US" w:eastAsia="es-ES"/>
        </w:rPr>
      </w:pPr>
      <w:bookmarkStart w:id="0" w:name="_GoBack"/>
      <w:proofErr w:type="gramStart"/>
      <w:r w:rsidRPr="00D56E06">
        <w:rPr>
          <w:rFonts w:ascii="Times New Roman" w:hAnsi="Times New Roman" w:cs="Times New Roman"/>
          <w:sz w:val="24"/>
          <w:szCs w:val="24"/>
          <w:lang w:val="en-US"/>
        </w:rPr>
        <w:t>S2</w:t>
      </w:r>
      <w:r w:rsidR="0009740B" w:rsidRPr="00D56E06">
        <w:rPr>
          <w:rFonts w:ascii="Times New Roman" w:hAnsi="Times New Roman" w:cs="Times New Roman"/>
          <w:sz w:val="24"/>
          <w:szCs w:val="24"/>
          <w:lang w:val="en-US"/>
        </w:rPr>
        <w:t xml:space="preserve"> Table.</w:t>
      </w:r>
      <w:proofErr w:type="gramEnd"/>
      <w:r w:rsidR="0009740B" w:rsidRPr="0009740B">
        <w:rPr>
          <w:rFonts w:ascii="Times New Roman" w:hAnsi="Times New Roman" w:cs="Times New Roman"/>
          <w:b/>
          <w:sz w:val="24"/>
          <w:szCs w:val="24"/>
          <w:lang w:val="en-US"/>
        </w:rPr>
        <w:t xml:space="preserve"> </w:t>
      </w:r>
      <w:bookmarkEnd w:id="0"/>
      <w:r w:rsidR="0009740B" w:rsidRPr="0009740B">
        <w:rPr>
          <w:rFonts w:ascii="Times New Roman" w:eastAsia="Times New Roman" w:hAnsi="Times New Roman" w:cs="Times New Roman"/>
          <w:b/>
          <w:color w:val="222222"/>
          <w:spacing w:val="3"/>
          <w:kern w:val="36"/>
          <w:sz w:val="24"/>
          <w:szCs w:val="20"/>
          <w:lang w:val="en-US" w:eastAsia="es-ES"/>
        </w:rPr>
        <w:t>Baseline characteristics of study sample by recruiting center.</w:t>
      </w:r>
    </w:p>
    <w:p w:rsidR="0009740B" w:rsidRPr="00456DEB" w:rsidRDefault="0009740B" w:rsidP="0009740B">
      <w:pPr>
        <w:rPr>
          <w:b/>
          <w:lang w:val="en-US"/>
        </w:rPr>
      </w:pPr>
    </w:p>
    <w:tbl>
      <w:tblPr>
        <w:tblStyle w:val="Tablaconcuadrcula"/>
        <w:tblW w:w="13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7"/>
        <w:gridCol w:w="1421"/>
        <w:gridCol w:w="1388"/>
        <w:gridCol w:w="1334"/>
        <w:gridCol w:w="1685"/>
        <w:gridCol w:w="1418"/>
        <w:gridCol w:w="1559"/>
        <w:gridCol w:w="1276"/>
      </w:tblGrid>
      <w:tr w:rsidR="0009740B" w:rsidRPr="00D03F35" w:rsidTr="00334BFE">
        <w:trPr>
          <w:trHeight w:val="316"/>
          <w:jc w:val="center"/>
        </w:trPr>
        <w:tc>
          <w:tcPr>
            <w:tcW w:w="3367" w:type="dxa"/>
            <w:tcBorders>
              <w:top w:val="single" w:sz="12" w:space="0" w:color="auto"/>
            </w:tcBorders>
          </w:tcPr>
          <w:p w:rsidR="0009740B" w:rsidRPr="00E91206" w:rsidRDefault="0009740B" w:rsidP="00334BFE">
            <w:pPr>
              <w:rPr>
                <w:rFonts w:ascii="Times New Roman" w:hAnsi="Times New Roman" w:cs="Times New Roman"/>
                <w:sz w:val="24"/>
                <w:szCs w:val="24"/>
                <w:lang w:val="en-US"/>
              </w:rPr>
            </w:pPr>
            <w:r>
              <w:rPr>
                <w:rFonts w:ascii="Times New Roman" w:hAnsi="Times New Roman" w:cs="Times New Roman"/>
                <w:sz w:val="24"/>
                <w:szCs w:val="24"/>
                <w:lang w:val="en-US"/>
              </w:rPr>
              <w:t>n=1231</w:t>
            </w:r>
          </w:p>
        </w:tc>
        <w:tc>
          <w:tcPr>
            <w:tcW w:w="1421" w:type="dxa"/>
            <w:tcBorders>
              <w:top w:val="single" w:sz="12" w:space="0" w:color="auto"/>
            </w:tcBorders>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Center A</w:t>
            </w:r>
          </w:p>
        </w:tc>
        <w:tc>
          <w:tcPr>
            <w:tcW w:w="1388" w:type="dxa"/>
            <w:tcBorders>
              <w:top w:val="single" w:sz="12" w:space="0" w:color="auto"/>
            </w:tcBorders>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Center B</w:t>
            </w:r>
          </w:p>
        </w:tc>
        <w:tc>
          <w:tcPr>
            <w:tcW w:w="1334" w:type="dxa"/>
            <w:tcBorders>
              <w:top w:val="single" w:sz="12" w:space="0" w:color="auto"/>
            </w:tcBorders>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Center C</w:t>
            </w:r>
          </w:p>
        </w:tc>
        <w:tc>
          <w:tcPr>
            <w:tcW w:w="1685" w:type="dxa"/>
            <w:tcBorders>
              <w:top w:val="single" w:sz="12" w:space="0" w:color="auto"/>
            </w:tcBorders>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Center D</w:t>
            </w:r>
          </w:p>
        </w:tc>
        <w:tc>
          <w:tcPr>
            <w:tcW w:w="1418" w:type="dxa"/>
            <w:tcBorders>
              <w:top w:val="single" w:sz="12" w:space="0" w:color="auto"/>
            </w:tcBorders>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Center E</w:t>
            </w:r>
          </w:p>
        </w:tc>
        <w:tc>
          <w:tcPr>
            <w:tcW w:w="1559" w:type="dxa"/>
            <w:tcBorders>
              <w:top w:val="single" w:sz="12" w:space="0" w:color="auto"/>
            </w:tcBorders>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Center F</w:t>
            </w:r>
          </w:p>
        </w:tc>
        <w:tc>
          <w:tcPr>
            <w:tcW w:w="1276" w:type="dxa"/>
            <w:tcBorders>
              <w:top w:val="single" w:sz="12" w:space="0" w:color="auto"/>
            </w:tcBorders>
          </w:tcPr>
          <w:p w:rsidR="0009740B" w:rsidRPr="00E3243D" w:rsidRDefault="0009740B" w:rsidP="00334BFE">
            <w:pPr>
              <w:jc w:val="center"/>
              <w:rPr>
                <w:rFonts w:ascii="Times New Roman" w:hAnsi="Times New Roman" w:cs="Times New Roman"/>
                <w:sz w:val="24"/>
                <w:szCs w:val="24"/>
                <w:lang w:val="en-US"/>
              </w:rPr>
            </w:pPr>
          </w:p>
        </w:tc>
      </w:tr>
      <w:tr w:rsidR="0009740B" w:rsidRPr="00D03F35" w:rsidTr="00334BFE">
        <w:trPr>
          <w:trHeight w:val="316"/>
          <w:jc w:val="center"/>
        </w:trPr>
        <w:tc>
          <w:tcPr>
            <w:tcW w:w="3367" w:type="dxa"/>
          </w:tcPr>
          <w:p w:rsidR="0009740B" w:rsidRPr="00D03F35" w:rsidRDefault="0009740B" w:rsidP="00334BFE">
            <w:pPr>
              <w:rPr>
                <w:rFonts w:ascii="Times New Roman" w:hAnsi="Times New Roman" w:cs="Times New Roman"/>
                <w:sz w:val="24"/>
                <w:szCs w:val="24"/>
                <w:lang w:val="en-US"/>
              </w:rPr>
            </w:pPr>
          </w:p>
        </w:tc>
        <w:tc>
          <w:tcPr>
            <w:tcW w:w="1421" w:type="dxa"/>
            <w:tcBorders>
              <w:bottom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n=241</w:t>
            </w:r>
          </w:p>
        </w:tc>
        <w:tc>
          <w:tcPr>
            <w:tcW w:w="1388" w:type="dxa"/>
            <w:tcBorders>
              <w:bottom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n=298</w:t>
            </w:r>
          </w:p>
        </w:tc>
        <w:tc>
          <w:tcPr>
            <w:tcW w:w="1334" w:type="dxa"/>
            <w:tcBorders>
              <w:bottom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n=142</w:t>
            </w:r>
          </w:p>
        </w:tc>
        <w:tc>
          <w:tcPr>
            <w:tcW w:w="1685" w:type="dxa"/>
            <w:tcBorders>
              <w:bottom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n=336</w:t>
            </w:r>
          </w:p>
        </w:tc>
        <w:tc>
          <w:tcPr>
            <w:tcW w:w="1418" w:type="dxa"/>
            <w:tcBorders>
              <w:bottom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n=99</w:t>
            </w:r>
          </w:p>
        </w:tc>
        <w:tc>
          <w:tcPr>
            <w:tcW w:w="1559" w:type="dxa"/>
            <w:tcBorders>
              <w:bottom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n=115</w:t>
            </w:r>
          </w:p>
        </w:tc>
        <w:tc>
          <w:tcPr>
            <w:tcW w:w="1276" w:type="dxa"/>
            <w:tcBorders>
              <w:bottom w:val="single" w:sz="4" w:space="0" w:color="auto"/>
            </w:tcBorders>
          </w:tcPr>
          <w:p w:rsidR="0009740B" w:rsidRPr="0009740B" w:rsidRDefault="0009740B" w:rsidP="00334BFE">
            <w:pPr>
              <w:jc w:val="center"/>
              <w:rPr>
                <w:rFonts w:ascii="Times New Roman" w:hAnsi="Times New Roman" w:cs="Times New Roman"/>
                <w:i/>
                <w:sz w:val="24"/>
                <w:szCs w:val="24"/>
                <w:lang w:val="en-US"/>
              </w:rPr>
            </w:pPr>
            <w:r w:rsidRPr="0009740B">
              <w:rPr>
                <w:rFonts w:ascii="Times New Roman" w:hAnsi="Times New Roman" w:cs="Times New Roman"/>
                <w:i/>
                <w:sz w:val="24"/>
                <w:szCs w:val="24"/>
                <w:lang w:val="en-US"/>
              </w:rPr>
              <w:t xml:space="preserve">p-value </w:t>
            </w:r>
          </w:p>
        </w:tc>
      </w:tr>
      <w:tr w:rsidR="0009740B" w:rsidRPr="00E3243D" w:rsidTr="00334BFE">
        <w:trPr>
          <w:trHeight w:val="316"/>
          <w:jc w:val="center"/>
        </w:trPr>
        <w:tc>
          <w:tcPr>
            <w:tcW w:w="3367" w:type="dxa"/>
          </w:tcPr>
          <w:p w:rsidR="0009740B" w:rsidRPr="00D03F35" w:rsidRDefault="0009740B" w:rsidP="00334BFE">
            <w:pPr>
              <w:rPr>
                <w:rFonts w:ascii="Times New Roman" w:hAnsi="Times New Roman" w:cs="Times New Roman"/>
                <w:sz w:val="24"/>
                <w:szCs w:val="24"/>
                <w:lang w:val="en-US"/>
              </w:rPr>
            </w:pPr>
            <w:r w:rsidRPr="00D03F35">
              <w:rPr>
                <w:rFonts w:ascii="Times New Roman" w:hAnsi="Times New Roman" w:cs="Times New Roman"/>
                <w:sz w:val="24"/>
                <w:szCs w:val="24"/>
                <w:lang w:val="en-US"/>
              </w:rPr>
              <w:t>Age (years)</w:t>
            </w:r>
          </w:p>
        </w:tc>
        <w:tc>
          <w:tcPr>
            <w:tcW w:w="1421" w:type="dxa"/>
            <w:tcBorders>
              <w:top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65.7 (5.1)</w:t>
            </w:r>
          </w:p>
        </w:tc>
        <w:tc>
          <w:tcPr>
            <w:tcW w:w="1388" w:type="dxa"/>
            <w:tcBorders>
              <w:top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65.0 (4.8)</w:t>
            </w:r>
          </w:p>
        </w:tc>
        <w:tc>
          <w:tcPr>
            <w:tcW w:w="1334" w:type="dxa"/>
            <w:tcBorders>
              <w:top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66.0 (4.8)</w:t>
            </w:r>
          </w:p>
        </w:tc>
        <w:tc>
          <w:tcPr>
            <w:tcW w:w="1685" w:type="dxa"/>
            <w:tcBorders>
              <w:top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64.9 (5.1)</w:t>
            </w:r>
          </w:p>
        </w:tc>
        <w:tc>
          <w:tcPr>
            <w:tcW w:w="1418" w:type="dxa"/>
            <w:tcBorders>
              <w:top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63.8 (4.9)</w:t>
            </w:r>
          </w:p>
        </w:tc>
        <w:tc>
          <w:tcPr>
            <w:tcW w:w="1559" w:type="dxa"/>
            <w:tcBorders>
              <w:top w:val="single" w:sz="4" w:space="0" w:color="auto"/>
            </w:tcBorders>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66.9 (5.0)</w:t>
            </w:r>
          </w:p>
        </w:tc>
        <w:tc>
          <w:tcPr>
            <w:tcW w:w="1276" w:type="dxa"/>
            <w:tcBorders>
              <w:top w:val="single" w:sz="4" w:space="0" w:color="auto"/>
            </w:tcBorders>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Sex:</w:t>
            </w:r>
          </w:p>
        </w:tc>
        <w:tc>
          <w:tcPr>
            <w:tcW w:w="1421" w:type="dxa"/>
          </w:tcPr>
          <w:p w:rsidR="0009740B" w:rsidRPr="00E3243D" w:rsidRDefault="0009740B" w:rsidP="00334BFE">
            <w:pPr>
              <w:jc w:val="center"/>
              <w:rPr>
                <w:rFonts w:ascii="Times New Roman" w:hAnsi="Times New Roman" w:cs="Times New Roman"/>
                <w:color w:val="FF0000"/>
                <w:sz w:val="24"/>
                <w:szCs w:val="24"/>
                <w:lang w:val="en-US"/>
              </w:rPr>
            </w:pPr>
          </w:p>
        </w:tc>
        <w:tc>
          <w:tcPr>
            <w:tcW w:w="1388" w:type="dxa"/>
          </w:tcPr>
          <w:p w:rsidR="0009740B" w:rsidRPr="00E3243D" w:rsidRDefault="0009740B" w:rsidP="00334BFE">
            <w:pPr>
              <w:jc w:val="center"/>
              <w:rPr>
                <w:rFonts w:ascii="Times New Roman" w:hAnsi="Times New Roman" w:cs="Times New Roman"/>
                <w:color w:val="FF0000"/>
                <w:sz w:val="24"/>
                <w:szCs w:val="24"/>
                <w:lang w:val="en-US"/>
              </w:rPr>
            </w:pPr>
          </w:p>
        </w:tc>
        <w:tc>
          <w:tcPr>
            <w:tcW w:w="1334" w:type="dxa"/>
          </w:tcPr>
          <w:p w:rsidR="0009740B" w:rsidRPr="00E3243D" w:rsidRDefault="0009740B" w:rsidP="00334BFE">
            <w:pPr>
              <w:jc w:val="center"/>
              <w:rPr>
                <w:rFonts w:ascii="Times New Roman" w:hAnsi="Times New Roman" w:cs="Times New Roman"/>
                <w:color w:val="FF0000"/>
                <w:sz w:val="24"/>
                <w:szCs w:val="24"/>
                <w:lang w:val="en-US"/>
              </w:rPr>
            </w:pPr>
          </w:p>
        </w:tc>
        <w:tc>
          <w:tcPr>
            <w:tcW w:w="1685" w:type="dxa"/>
          </w:tcPr>
          <w:p w:rsidR="0009740B" w:rsidRPr="00E3243D" w:rsidRDefault="0009740B" w:rsidP="00334BFE">
            <w:pPr>
              <w:jc w:val="center"/>
              <w:rPr>
                <w:rFonts w:ascii="Times New Roman" w:hAnsi="Times New Roman" w:cs="Times New Roman"/>
                <w:color w:val="FF0000"/>
                <w:sz w:val="24"/>
                <w:szCs w:val="24"/>
                <w:lang w:val="en-US"/>
              </w:rPr>
            </w:pPr>
          </w:p>
        </w:tc>
        <w:tc>
          <w:tcPr>
            <w:tcW w:w="1418" w:type="dxa"/>
          </w:tcPr>
          <w:p w:rsidR="0009740B" w:rsidRPr="00E3243D" w:rsidRDefault="0009740B" w:rsidP="00334BFE">
            <w:pPr>
              <w:jc w:val="center"/>
              <w:rPr>
                <w:rFonts w:ascii="Times New Roman" w:hAnsi="Times New Roman" w:cs="Times New Roman"/>
                <w:color w:val="FF0000"/>
                <w:sz w:val="24"/>
                <w:szCs w:val="24"/>
                <w:lang w:val="en-US"/>
              </w:rPr>
            </w:pPr>
          </w:p>
        </w:tc>
        <w:tc>
          <w:tcPr>
            <w:tcW w:w="1559" w:type="dxa"/>
          </w:tcPr>
          <w:p w:rsidR="0009740B" w:rsidRPr="00E3243D" w:rsidRDefault="0009740B" w:rsidP="00334BFE">
            <w:pPr>
              <w:jc w:val="center"/>
              <w:rPr>
                <w:rFonts w:ascii="Times New Roman" w:hAnsi="Times New Roman" w:cs="Times New Roman"/>
                <w:color w:val="FF0000"/>
                <w:sz w:val="24"/>
                <w:szCs w:val="24"/>
                <w:lang w:val="en-US"/>
              </w:rPr>
            </w:pPr>
          </w:p>
        </w:tc>
        <w:tc>
          <w:tcPr>
            <w:tcW w:w="1276" w:type="dxa"/>
          </w:tcPr>
          <w:p w:rsidR="0009740B" w:rsidRPr="00E3243D" w:rsidRDefault="0009740B" w:rsidP="00334BFE">
            <w:pPr>
              <w:jc w:val="center"/>
              <w:rPr>
                <w:rFonts w:ascii="Times New Roman" w:hAnsi="Times New Roman" w:cs="Times New Roman"/>
                <w:color w:val="FF0000"/>
                <w:sz w:val="24"/>
                <w:szCs w:val="24"/>
                <w:lang w:val="en-US"/>
              </w:rPr>
            </w:pPr>
            <w:r w:rsidRPr="00E3243D">
              <w:rPr>
                <w:rFonts w:ascii="Times New Roman" w:hAnsi="Times New Roman" w:cs="Times New Roman"/>
                <w:sz w:val="24"/>
                <w:szCs w:val="24"/>
                <w:lang w:val="en-US"/>
              </w:rPr>
              <w:t>0.277</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Men </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128 (53)</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152 (51)</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74 (52)</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178 (53)</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62 (63)</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53 (46)</w:t>
            </w:r>
          </w:p>
        </w:tc>
        <w:tc>
          <w:tcPr>
            <w:tcW w:w="1276" w:type="dxa"/>
          </w:tcPr>
          <w:p w:rsidR="0009740B" w:rsidRPr="00E3243D" w:rsidRDefault="0009740B" w:rsidP="00334BFE">
            <w:pPr>
              <w:jc w:val="center"/>
              <w:rPr>
                <w:rFonts w:ascii="Times New Roman" w:hAnsi="Times New Roman" w:cs="Times New Roman"/>
                <w:sz w:val="24"/>
                <w:szCs w:val="24"/>
                <w:lang w:val="en-US"/>
              </w:rPr>
            </w:pP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rPr>
            </w:pPr>
            <w:r w:rsidRPr="00E3243D">
              <w:rPr>
                <w:rFonts w:ascii="Times New Roman" w:hAnsi="Times New Roman" w:cs="Times New Roman"/>
                <w:sz w:val="24"/>
                <w:szCs w:val="24"/>
              </w:rPr>
              <w:t xml:space="preserve">    </w:t>
            </w:r>
            <w:proofErr w:type="spellStart"/>
            <w:r w:rsidRPr="00E3243D">
              <w:rPr>
                <w:rFonts w:ascii="Times New Roman" w:hAnsi="Times New Roman" w:cs="Times New Roman"/>
                <w:sz w:val="24"/>
                <w:szCs w:val="24"/>
              </w:rPr>
              <w:t>Women</w:t>
            </w:r>
            <w:proofErr w:type="spellEnd"/>
          </w:p>
        </w:tc>
        <w:tc>
          <w:tcPr>
            <w:tcW w:w="1421"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113 (47)</w:t>
            </w:r>
          </w:p>
        </w:tc>
        <w:tc>
          <w:tcPr>
            <w:tcW w:w="138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146 (49)</w:t>
            </w:r>
          </w:p>
        </w:tc>
        <w:tc>
          <w:tcPr>
            <w:tcW w:w="1334"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68 (48)</w:t>
            </w:r>
          </w:p>
        </w:tc>
        <w:tc>
          <w:tcPr>
            <w:tcW w:w="1685"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158 (47)</w:t>
            </w:r>
          </w:p>
        </w:tc>
        <w:tc>
          <w:tcPr>
            <w:tcW w:w="141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37 (37)</w:t>
            </w:r>
          </w:p>
        </w:tc>
        <w:tc>
          <w:tcPr>
            <w:tcW w:w="1559"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62 (54)</w:t>
            </w:r>
          </w:p>
        </w:tc>
        <w:tc>
          <w:tcPr>
            <w:tcW w:w="1276" w:type="dxa"/>
          </w:tcPr>
          <w:p w:rsidR="0009740B" w:rsidRPr="00E3243D" w:rsidRDefault="0009740B" w:rsidP="00334BFE">
            <w:pPr>
              <w:jc w:val="center"/>
              <w:rPr>
                <w:rFonts w:ascii="Times New Roman" w:hAnsi="Times New Roman" w:cs="Times New Roman"/>
                <w:sz w:val="24"/>
                <w:szCs w:val="24"/>
              </w:rPr>
            </w:pP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BMI (kg/m</w:t>
            </w:r>
            <w:r w:rsidRPr="00E3243D">
              <w:rPr>
                <w:rFonts w:ascii="Times New Roman" w:hAnsi="Times New Roman" w:cs="Times New Roman"/>
                <w:sz w:val="24"/>
                <w:szCs w:val="24"/>
                <w:vertAlign w:val="superscript"/>
                <w:lang w:val="en-US"/>
              </w:rPr>
              <w:t>2</w:t>
            </w:r>
            <w:r w:rsidRPr="00E3243D">
              <w:rPr>
                <w:rFonts w:ascii="Times New Roman" w:hAnsi="Times New Roman" w:cs="Times New Roman"/>
                <w:sz w:val="24"/>
                <w:szCs w:val="24"/>
                <w:lang w:val="en-US"/>
              </w:rPr>
              <w:t>)</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32.1 (3.2)</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32.8 (3.3)</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32.6 (3.1)</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33.0 (3.4)</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31.8 (3.2)</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32.1 (3.5)</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0.001</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Height (cm)</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164 (9)</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162 (9)</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163 (9)</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162 (9)</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168 (9)</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162 (9)</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VAT (kg)</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2.38 (0.88)</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2.23 (0.83)</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2.50 (1.10)</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2.10 (0.80)</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2.53 (1.00)</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2.36 (0.85)</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Total fat (kg)</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33.8 (7.2)</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35.1 (6.9)</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35.7 (7.1)</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33.8 (7.3)</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34.3 (6.7)</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34.6 (7.6)</w:t>
            </w:r>
          </w:p>
        </w:tc>
        <w:tc>
          <w:tcPr>
            <w:tcW w:w="1276" w:type="dxa"/>
          </w:tcPr>
          <w:p w:rsidR="0009740B" w:rsidRPr="009A6BC1" w:rsidRDefault="0009740B" w:rsidP="00334BFE">
            <w:pPr>
              <w:jc w:val="center"/>
              <w:rPr>
                <w:rFonts w:ascii="Times New Roman" w:hAnsi="Times New Roman" w:cs="Times New Roman"/>
                <w:b/>
                <w:sz w:val="24"/>
                <w:szCs w:val="24"/>
                <w:lang w:val="en-US"/>
              </w:rPr>
            </w:pPr>
            <w:r w:rsidRPr="009A6BC1">
              <w:rPr>
                <w:rFonts w:ascii="Times New Roman" w:hAnsi="Times New Roman" w:cs="Times New Roman"/>
                <w:b/>
                <w:sz w:val="24"/>
                <w:szCs w:val="24"/>
                <w:lang w:val="en-US"/>
              </w:rPr>
              <w:t>0.039</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proofErr w:type="spellStart"/>
            <w:r w:rsidRPr="00E3243D">
              <w:rPr>
                <w:rFonts w:ascii="Times New Roman" w:hAnsi="Times New Roman" w:cs="Times New Roman"/>
                <w:sz w:val="24"/>
                <w:szCs w:val="24"/>
                <w:lang w:val="en-US"/>
              </w:rPr>
              <w:t>MetS</w:t>
            </w:r>
            <w:proofErr w:type="spellEnd"/>
            <w:r w:rsidRPr="00E3243D">
              <w:rPr>
                <w:rFonts w:ascii="Times New Roman" w:hAnsi="Times New Roman" w:cs="Times New Roman"/>
                <w:sz w:val="24"/>
                <w:szCs w:val="24"/>
                <w:lang w:val="en-US"/>
              </w:rPr>
              <w:t xml:space="preserve"> components</w:t>
            </w:r>
            <w:r>
              <w:rPr>
                <w:rFonts w:ascii="Times New Roman" w:hAnsi="Times New Roman" w:cs="Times New Roman"/>
                <w:sz w:val="24"/>
                <w:szCs w:val="24"/>
                <w:lang w:val="en-US"/>
              </w:rPr>
              <w:t xml:space="preserve"> prevalence</w:t>
            </w:r>
            <w:r w:rsidRPr="00E3243D">
              <w:rPr>
                <w:rFonts w:ascii="Times New Roman" w:hAnsi="Times New Roman" w:cs="Times New Roman"/>
                <w:sz w:val="24"/>
                <w:szCs w:val="24"/>
                <w:lang w:val="en-US"/>
              </w:rPr>
              <w:t>:</w:t>
            </w:r>
          </w:p>
        </w:tc>
        <w:tc>
          <w:tcPr>
            <w:tcW w:w="1421" w:type="dxa"/>
          </w:tcPr>
          <w:p w:rsidR="0009740B" w:rsidRPr="00E3243D" w:rsidRDefault="0009740B" w:rsidP="00334BFE">
            <w:pPr>
              <w:jc w:val="center"/>
              <w:rPr>
                <w:rFonts w:ascii="Times New Roman" w:hAnsi="Times New Roman" w:cs="Times New Roman"/>
                <w:sz w:val="24"/>
                <w:szCs w:val="24"/>
                <w:lang w:val="en-US"/>
              </w:rPr>
            </w:pPr>
          </w:p>
        </w:tc>
        <w:tc>
          <w:tcPr>
            <w:tcW w:w="1388" w:type="dxa"/>
          </w:tcPr>
          <w:p w:rsidR="0009740B" w:rsidRPr="00E3243D" w:rsidRDefault="0009740B" w:rsidP="00334BFE">
            <w:pPr>
              <w:jc w:val="center"/>
              <w:rPr>
                <w:rFonts w:ascii="Times New Roman" w:hAnsi="Times New Roman" w:cs="Times New Roman"/>
                <w:sz w:val="24"/>
                <w:szCs w:val="24"/>
                <w:lang w:val="en-US"/>
              </w:rPr>
            </w:pPr>
          </w:p>
        </w:tc>
        <w:tc>
          <w:tcPr>
            <w:tcW w:w="1334" w:type="dxa"/>
          </w:tcPr>
          <w:p w:rsidR="0009740B" w:rsidRPr="00E3243D" w:rsidRDefault="0009740B" w:rsidP="00334BFE">
            <w:pPr>
              <w:jc w:val="center"/>
              <w:rPr>
                <w:rFonts w:ascii="Times New Roman" w:hAnsi="Times New Roman" w:cs="Times New Roman"/>
                <w:b/>
                <w:sz w:val="24"/>
                <w:szCs w:val="24"/>
                <w:lang w:val="en-US"/>
              </w:rPr>
            </w:pPr>
          </w:p>
        </w:tc>
        <w:tc>
          <w:tcPr>
            <w:tcW w:w="1685" w:type="dxa"/>
          </w:tcPr>
          <w:p w:rsidR="0009740B" w:rsidRPr="00E3243D" w:rsidRDefault="0009740B" w:rsidP="00334BFE">
            <w:pPr>
              <w:jc w:val="center"/>
              <w:rPr>
                <w:rFonts w:ascii="Times New Roman" w:hAnsi="Times New Roman" w:cs="Times New Roman"/>
                <w:b/>
                <w:sz w:val="24"/>
                <w:szCs w:val="24"/>
                <w:lang w:val="en-US"/>
              </w:rPr>
            </w:pPr>
          </w:p>
        </w:tc>
        <w:tc>
          <w:tcPr>
            <w:tcW w:w="1418" w:type="dxa"/>
          </w:tcPr>
          <w:p w:rsidR="0009740B" w:rsidRPr="00E3243D" w:rsidRDefault="0009740B" w:rsidP="00334BFE">
            <w:pPr>
              <w:jc w:val="center"/>
              <w:rPr>
                <w:rFonts w:ascii="Times New Roman" w:hAnsi="Times New Roman" w:cs="Times New Roman"/>
                <w:b/>
                <w:sz w:val="24"/>
                <w:szCs w:val="24"/>
                <w:lang w:val="en-US"/>
              </w:rPr>
            </w:pPr>
          </w:p>
        </w:tc>
        <w:tc>
          <w:tcPr>
            <w:tcW w:w="1559" w:type="dxa"/>
          </w:tcPr>
          <w:p w:rsidR="0009740B" w:rsidRPr="00E3243D" w:rsidRDefault="0009740B" w:rsidP="00334BFE">
            <w:pPr>
              <w:jc w:val="center"/>
              <w:rPr>
                <w:rFonts w:ascii="Times New Roman" w:hAnsi="Times New Roman" w:cs="Times New Roman"/>
                <w:b/>
                <w:sz w:val="24"/>
                <w:szCs w:val="24"/>
                <w:lang w:val="en-US"/>
              </w:rPr>
            </w:pPr>
          </w:p>
        </w:tc>
        <w:tc>
          <w:tcPr>
            <w:tcW w:w="1276" w:type="dxa"/>
          </w:tcPr>
          <w:p w:rsidR="0009740B" w:rsidRPr="00E3243D" w:rsidRDefault="0009740B" w:rsidP="00334BFE">
            <w:pPr>
              <w:jc w:val="center"/>
              <w:rPr>
                <w:rFonts w:ascii="Times New Roman" w:hAnsi="Times New Roman" w:cs="Times New Roman"/>
                <w:b/>
                <w:sz w:val="24"/>
                <w:szCs w:val="24"/>
                <w:lang w:val="en-US"/>
              </w:rPr>
            </w:pP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Abdominal obesity </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229 (95)</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291 (98)</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137 (96)</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322 (96)</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95 (96)</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113 (98)</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0.520</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Pr>
                <w:rFonts w:ascii="Times New Roman" w:hAnsi="Times New Roman" w:cs="Times New Roman"/>
                <w:sz w:val="24"/>
                <w:szCs w:val="24"/>
                <w:lang w:val="en-US"/>
              </w:rPr>
              <w:t xml:space="preserve">     Hypergly</w:t>
            </w:r>
            <w:r w:rsidRPr="00E3243D">
              <w:rPr>
                <w:rFonts w:ascii="Times New Roman" w:hAnsi="Times New Roman" w:cs="Times New Roman"/>
                <w:sz w:val="24"/>
                <w:szCs w:val="24"/>
                <w:lang w:val="en-US"/>
              </w:rPr>
              <w:t xml:space="preserve">cemia </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187 (78)</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231 (78)</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96 (68)</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231 (69)</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77 (78)</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96 (83)</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0.004</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Hypertriglyceridemia </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120 (50)</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165 (55)</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76 (53)</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192 (57)</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56 (57)</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66 (57)</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0.585</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Low HDL-cholesterol </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120 (50)</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151 (51)</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57 (40)</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143 (43)</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45 (45)</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48 (42)</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0.135</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Hypertension </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233 (97)</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264 (89)</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133 (94)</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320 (95)</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96 (97)</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99 (86)</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lastRenderedPageBreak/>
              <w:t>Total PA (</w:t>
            </w:r>
            <w:proofErr w:type="spellStart"/>
            <w:r w:rsidRPr="00E3243D">
              <w:rPr>
                <w:rFonts w:ascii="Times New Roman" w:hAnsi="Times New Roman" w:cs="Times New Roman"/>
                <w:sz w:val="24"/>
                <w:szCs w:val="24"/>
                <w:lang w:val="en-US"/>
              </w:rPr>
              <w:t>MET·min</w:t>
            </w:r>
            <w:proofErr w:type="spellEnd"/>
            <w:r w:rsidRPr="00E3243D">
              <w:rPr>
                <w:rFonts w:ascii="Times New Roman" w:hAnsi="Times New Roman" w:cs="Times New Roman"/>
                <w:sz w:val="24"/>
                <w:szCs w:val="24"/>
                <w:lang w:val="en-US"/>
              </w:rPr>
              <w:t>/day)</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404 (337)</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413 (358)</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443 (312)</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358 (341)</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406 (370)</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384 (270)</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0.150</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MVPA (</w:t>
            </w:r>
            <w:proofErr w:type="spellStart"/>
            <w:r w:rsidRPr="00E3243D">
              <w:rPr>
                <w:rFonts w:ascii="Times New Roman" w:hAnsi="Times New Roman" w:cs="Times New Roman"/>
                <w:sz w:val="24"/>
                <w:szCs w:val="24"/>
                <w:lang w:val="en-US"/>
              </w:rPr>
              <w:t>MET·min</w:t>
            </w:r>
            <w:proofErr w:type="spellEnd"/>
            <w:r w:rsidRPr="00E3243D">
              <w:rPr>
                <w:rFonts w:ascii="Times New Roman" w:hAnsi="Times New Roman" w:cs="Times New Roman"/>
                <w:sz w:val="24"/>
                <w:szCs w:val="24"/>
                <w:lang w:val="en-US"/>
              </w:rPr>
              <w:t>/day)</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304 (333)</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312 (344)</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289 (304)</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242 (307)</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339 (361)</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219 (246)</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0.006</w:t>
            </w:r>
          </w:p>
        </w:tc>
      </w:tr>
      <w:tr w:rsidR="0009740B" w:rsidRPr="00E3243D"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Light PA (</w:t>
            </w:r>
            <w:proofErr w:type="spellStart"/>
            <w:r w:rsidRPr="00E3243D">
              <w:rPr>
                <w:rFonts w:ascii="Times New Roman" w:hAnsi="Times New Roman" w:cs="Times New Roman"/>
                <w:sz w:val="24"/>
                <w:szCs w:val="24"/>
                <w:lang w:val="en-US"/>
              </w:rPr>
              <w:t>MET·min</w:t>
            </w:r>
            <w:proofErr w:type="spellEnd"/>
            <w:r w:rsidRPr="00E3243D">
              <w:rPr>
                <w:rFonts w:ascii="Times New Roman" w:hAnsi="Times New Roman" w:cs="Times New Roman"/>
                <w:sz w:val="24"/>
                <w:szCs w:val="24"/>
                <w:lang w:val="en-US"/>
              </w:rPr>
              <w:t>/day)</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100 (115)</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101 (122)</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153 (159)</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116 (139)</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66.5 (102)</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165 (168)</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16"/>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Chair-stand test (repeats)</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13.5 (4.6)</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15.4 (5.0)</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17.5 (7.4)</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11.2 (3.5)</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14.7 (4.7)</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14.0 (4.9)</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16"/>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Total SB (h/day)</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5.84 (1.88)</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6.00 (1.63)</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5.32 (1.98)</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5.93 (1.77)</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4.87 (1.69)</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6.20 (1.78)</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16"/>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TV-viewing SB (h/day)</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3.09 (1.62)</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3.58 (1.67)</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2.95 (1.48)</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2.87 (1.50)</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2.49 (1.30)</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3.29 (1.91)</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&lt;0.001</w:t>
            </w:r>
          </w:p>
        </w:tc>
      </w:tr>
      <w:tr w:rsidR="0009740B" w:rsidRPr="00E3243D" w:rsidTr="00334BFE">
        <w:trPr>
          <w:trHeight w:val="316"/>
          <w:jc w:val="center"/>
        </w:trPr>
        <w:tc>
          <w:tcPr>
            <w:tcW w:w="3367" w:type="dxa"/>
          </w:tcPr>
          <w:p w:rsidR="0009740B" w:rsidRPr="00E3243D" w:rsidRDefault="0009740B" w:rsidP="00334BFE">
            <w:pPr>
              <w:rPr>
                <w:rFonts w:ascii="Times New Roman" w:hAnsi="Times New Roman" w:cs="Times New Roman"/>
                <w:sz w:val="24"/>
                <w:szCs w:val="24"/>
                <w:lang w:val="en-US"/>
              </w:rPr>
            </w:pPr>
            <w:proofErr w:type="spellStart"/>
            <w:r w:rsidRPr="00E3243D">
              <w:rPr>
                <w:rFonts w:ascii="Times New Roman" w:hAnsi="Times New Roman" w:cs="Times New Roman"/>
                <w:sz w:val="24"/>
                <w:szCs w:val="24"/>
                <w:lang w:val="en-US"/>
              </w:rPr>
              <w:t>erMedDiet</w:t>
            </w:r>
            <w:proofErr w:type="spellEnd"/>
            <w:r w:rsidRPr="00E3243D">
              <w:rPr>
                <w:rFonts w:ascii="Times New Roman" w:hAnsi="Times New Roman" w:cs="Times New Roman"/>
                <w:sz w:val="24"/>
                <w:szCs w:val="24"/>
                <w:lang w:val="en-US"/>
              </w:rPr>
              <w:t xml:space="preserve"> score (points)</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8.98 (2.58)</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8.18 (2.79)</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7.31 (2.58)</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7.96 (2.36)</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9.29 (2.77)</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8.70 (2.41)</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&lt;0.001</w:t>
            </w:r>
          </w:p>
        </w:tc>
      </w:tr>
      <w:tr w:rsidR="0009740B" w:rsidRPr="0087582A" w:rsidTr="00334BFE">
        <w:trPr>
          <w:trHeight w:val="295"/>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MDS (points)</w:t>
            </w:r>
          </w:p>
        </w:tc>
        <w:tc>
          <w:tcPr>
            <w:tcW w:w="1421" w:type="dxa"/>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4.70 (1.62</w:t>
            </w:r>
            <w:r w:rsidRPr="00E3243D">
              <w:rPr>
                <w:rFonts w:ascii="Times New Roman" w:hAnsi="Times New Roman" w:cs="Times New Roman"/>
                <w:sz w:val="24"/>
                <w:szCs w:val="24"/>
                <w:lang w:val="en-US"/>
              </w:rPr>
              <w:t>)</w:t>
            </w:r>
          </w:p>
        </w:tc>
        <w:tc>
          <w:tcPr>
            <w:tcW w:w="1388" w:type="dxa"/>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3.56 (1.65</w:t>
            </w:r>
            <w:r w:rsidRPr="00E3243D">
              <w:rPr>
                <w:rFonts w:ascii="Times New Roman" w:hAnsi="Times New Roman" w:cs="Times New Roman"/>
                <w:sz w:val="24"/>
                <w:szCs w:val="24"/>
                <w:lang w:val="en-US"/>
              </w:rPr>
              <w:t>)</w:t>
            </w:r>
          </w:p>
        </w:tc>
        <w:tc>
          <w:tcPr>
            <w:tcW w:w="1334" w:type="dxa"/>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3.58 (1.82</w:t>
            </w:r>
            <w:r w:rsidRPr="00E3243D">
              <w:rPr>
                <w:rFonts w:ascii="Times New Roman" w:hAnsi="Times New Roman" w:cs="Times New Roman"/>
                <w:sz w:val="24"/>
                <w:szCs w:val="24"/>
                <w:lang w:val="en-US"/>
              </w:rPr>
              <w:t>)</w:t>
            </w:r>
          </w:p>
        </w:tc>
        <w:tc>
          <w:tcPr>
            <w:tcW w:w="1685" w:type="dxa"/>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4.20 (1.51</w:t>
            </w:r>
            <w:r w:rsidRPr="00E3243D">
              <w:rPr>
                <w:rFonts w:ascii="Times New Roman" w:hAnsi="Times New Roman" w:cs="Times New Roman"/>
                <w:sz w:val="24"/>
                <w:szCs w:val="24"/>
                <w:lang w:val="en-US"/>
              </w:rPr>
              <w:t>)</w:t>
            </w:r>
          </w:p>
        </w:tc>
        <w:tc>
          <w:tcPr>
            <w:tcW w:w="1418" w:type="dxa"/>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4.22 (1.51</w:t>
            </w:r>
            <w:r w:rsidRPr="00E3243D">
              <w:rPr>
                <w:rFonts w:ascii="Times New Roman" w:hAnsi="Times New Roman" w:cs="Times New Roman"/>
                <w:sz w:val="24"/>
                <w:szCs w:val="24"/>
                <w:lang w:val="en-US"/>
              </w:rPr>
              <w:t>)</w:t>
            </w:r>
          </w:p>
        </w:tc>
        <w:tc>
          <w:tcPr>
            <w:tcW w:w="1559" w:type="dxa"/>
          </w:tcPr>
          <w:p w:rsidR="0009740B" w:rsidRPr="00E3243D" w:rsidRDefault="0009740B" w:rsidP="00334BFE">
            <w:pPr>
              <w:jc w:val="center"/>
              <w:rPr>
                <w:rFonts w:ascii="Times New Roman" w:hAnsi="Times New Roman" w:cs="Times New Roman"/>
                <w:sz w:val="24"/>
                <w:szCs w:val="24"/>
                <w:lang w:val="en-US"/>
              </w:rPr>
            </w:pPr>
            <w:r>
              <w:rPr>
                <w:rFonts w:ascii="Times New Roman" w:hAnsi="Times New Roman" w:cs="Times New Roman"/>
                <w:sz w:val="24"/>
                <w:szCs w:val="24"/>
                <w:lang w:val="en-US"/>
              </w:rPr>
              <w:t>4.53 (1.55</w:t>
            </w:r>
            <w:r w:rsidRPr="00E3243D">
              <w:rPr>
                <w:rFonts w:ascii="Times New Roman" w:hAnsi="Times New Roman" w:cs="Times New Roman"/>
                <w:sz w:val="24"/>
                <w:szCs w:val="24"/>
                <w:lang w:val="en-US"/>
              </w:rPr>
              <w:t>)</w:t>
            </w:r>
          </w:p>
        </w:tc>
        <w:tc>
          <w:tcPr>
            <w:tcW w:w="1276" w:type="dxa"/>
          </w:tcPr>
          <w:p w:rsidR="0009740B" w:rsidRPr="00E3243D" w:rsidRDefault="0009740B" w:rsidP="00334BFE">
            <w:pPr>
              <w:jc w:val="center"/>
              <w:rPr>
                <w:rFonts w:ascii="Times New Roman" w:hAnsi="Times New Roman" w:cs="Times New Roman"/>
                <w:b/>
                <w:sz w:val="24"/>
                <w:szCs w:val="24"/>
                <w:lang w:val="en-US"/>
              </w:rPr>
            </w:pPr>
            <w:r w:rsidRPr="00E3243D">
              <w:rPr>
                <w:rFonts w:ascii="Times New Roman" w:hAnsi="Times New Roman" w:cs="Times New Roman"/>
                <w:b/>
                <w:sz w:val="24"/>
                <w:szCs w:val="24"/>
                <w:lang w:val="en-US"/>
              </w:rPr>
              <w:t>&lt;0.001</w:t>
            </w:r>
          </w:p>
        </w:tc>
      </w:tr>
      <w:tr w:rsidR="0009740B" w:rsidRPr="0087582A" w:rsidTr="00334BFE">
        <w:trPr>
          <w:trHeight w:val="307"/>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Alcohol (g/day)</w:t>
            </w:r>
          </w:p>
        </w:tc>
        <w:tc>
          <w:tcPr>
            <w:tcW w:w="1421"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11.7 (16.4)</w:t>
            </w:r>
          </w:p>
        </w:tc>
        <w:tc>
          <w:tcPr>
            <w:tcW w:w="138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9.69 (14.0)</w:t>
            </w:r>
          </w:p>
        </w:tc>
        <w:tc>
          <w:tcPr>
            <w:tcW w:w="1334"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11.3 (14.5)</w:t>
            </w:r>
          </w:p>
        </w:tc>
        <w:tc>
          <w:tcPr>
            <w:tcW w:w="1685"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11.2 (13.8)</w:t>
            </w:r>
          </w:p>
        </w:tc>
        <w:tc>
          <w:tcPr>
            <w:tcW w:w="1418"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15.1 (18.7)</w:t>
            </w:r>
          </w:p>
        </w:tc>
        <w:tc>
          <w:tcPr>
            <w:tcW w:w="1559"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12.0 (13.6)</w:t>
            </w:r>
          </w:p>
        </w:tc>
        <w:tc>
          <w:tcPr>
            <w:tcW w:w="1276" w:type="dxa"/>
          </w:tcPr>
          <w:p w:rsidR="0009740B" w:rsidRPr="00E3243D" w:rsidRDefault="0009740B" w:rsidP="00334BFE">
            <w:pPr>
              <w:jc w:val="center"/>
              <w:rPr>
                <w:rFonts w:ascii="Times New Roman" w:hAnsi="Times New Roman" w:cs="Times New Roman"/>
                <w:sz w:val="24"/>
                <w:szCs w:val="24"/>
                <w:lang w:val="en-US"/>
              </w:rPr>
            </w:pPr>
            <w:r w:rsidRPr="00E3243D">
              <w:rPr>
                <w:rFonts w:ascii="Times New Roman" w:hAnsi="Times New Roman" w:cs="Times New Roman"/>
                <w:sz w:val="24"/>
                <w:szCs w:val="24"/>
                <w:lang w:val="en-US"/>
              </w:rPr>
              <w:t>0.066</w:t>
            </w:r>
          </w:p>
        </w:tc>
      </w:tr>
      <w:tr w:rsidR="0009740B" w:rsidRPr="00E3243D" w:rsidTr="00334BFE">
        <w:trPr>
          <w:trHeight w:val="89"/>
          <w:jc w:val="center"/>
        </w:trPr>
        <w:tc>
          <w:tcPr>
            <w:tcW w:w="3367" w:type="dxa"/>
          </w:tcPr>
          <w:p w:rsidR="0009740B" w:rsidRPr="00E3243D" w:rsidRDefault="0009740B" w:rsidP="00334BFE">
            <w:pPr>
              <w:rPr>
                <w:rFonts w:ascii="Times New Roman" w:hAnsi="Times New Roman" w:cs="Times New Roman"/>
                <w:sz w:val="24"/>
                <w:szCs w:val="24"/>
                <w:lang w:val="en-GB"/>
              </w:rPr>
            </w:pPr>
            <w:r w:rsidRPr="00E3243D">
              <w:rPr>
                <w:rFonts w:ascii="Times New Roman" w:hAnsi="Times New Roman" w:cs="Times New Roman"/>
                <w:sz w:val="24"/>
                <w:szCs w:val="24"/>
                <w:lang w:val="en-GB"/>
              </w:rPr>
              <w:t>Smoking habits:</w:t>
            </w:r>
          </w:p>
        </w:tc>
        <w:tc>
          <w:tcPr>
            <w:tcW w:w="1421" w:type="dxa"/>
          </w:tcPr>
          <w:p w:rsidR="0009740B" w:rsidRPr="0087582A" w:rsidRDefault="0009740B" w:rsidP="00334BFE">
            <w:pPr>
              <w:jc w:val="center"/>
              <w:rPr>
                <w:rFonts w:ascii="Times New Roman" w:hAnsi="Times New Roman" w:cs="Times New Roman"/>
                <w:sz w:val="24"/>
                <w:szCs w:val="24"/>
                <w:lang w:val="en-US"/>
              </w:rPr>
            </w:pPr>
          </w:p>
        </w:tc>
        <w:tc>
          <w:tcPr>
            <w:tcW w:w="1388" w:type="dxa"/>
          </w:tcPr>
          <w:p w:rsidR="0009740B" w:rsidRPr="0087582A" w:rsidRDefault="0009740B" w:rsidP="00334BFE">
            <w:pPr>
              <w:jc w:val="center"/>
              <w:rPr>
                <w:rFonts w:ascii="Times New Roman" w:hAnsi="Times New Roman" w:cs="Times New Roman"/>
                <w:sz w:val="24"/>
                <w:szCs w:val="24"/>
                <w:lang w:val="en-US"/>
              </w:rPr>
            </w:pPr>
          </w:p>
        </w:tc>
        <w:tc>
          <w:tcPr>
            <w:tcW w:w="1334" w:type="dxa"/>
          </w:tcPr>
          <w:p w:rsidR="0009740B" w:rsidRPr="0087582A" w:rsidRDefault="0009740B" w:rsidP="00334BFE">
            <w:pPr>
              <w:jc w:val="center"/>
              <w:rPr>
                <w:rFonts w:ascii="Times New Roman" w:hAnsi="Times New Roman" w:cs="Times New Roman"/>
                <w:sz w:val="24"/>
                <w:szCs w:val="24"/>
                <w:lang w:val="en-US"/>
              </w:rPr>
            </w:pPr>
          </w:p>
        </w:tc>
        <w:tc>
          <w:tcPr>
            <w:tcW w:w="1685" w:type="dxa"/>
          </w:tcPr>
          <w:p w:rsidR="0009740B" w:rsidRPr="0087582A" w:rsidRDefault="0009740B" w:rsidP="00334BFE">
            <w:pPr>
              <w:jc w:val="center"/>
              <w:rPr>
                <w:rFonts w:ascii="Times New Roman" w:hAnsi="Times New Roman" w:cs="Times New Roman"/>
                <w:sz w:val="24"/>
                <w:szCs w:val="24"/>
                <w:lang w:val="en-US"/>
              </w:rPr>
            </w:pPr>
          </w:p>
        </w:tc>
        <w:tc>
          <w:tcPr>
            <w:tcW w:w="1418" w:type="dxa"/>
          </w:tcPr>
          <w:p w:rsidR="0009740B" w:rsidRPr="0087582A" w:rsidRDefault="0009740B" w:rsidP="00334BFE">
            <w:pPr>
              <w:jc w:val="center"/>
              <w:rPr>
                <w:rFonts w:ascii="Times New Roman" w:hAnsi="Times New Roman" w:cs="Times New Roman"/>
                <w:sz w:val="24"/>
                <w:szCs w:val="24"/>
                <w:lang w:val="en-US"/>
              </w:rPr>
            </w:pPr>
          </w:p>
        </w:tc>
        <w:tc>
          <w:tcPr>
            <w:tcW w:w="1559" w:type="dxa"/>
          </w:tcPr>
          <w:p w:rsidR="0009740B" w:rsidRPr="0087582A" w:rsidRDefault="0009740B" w:rsidP="00334BFE">
            <w:pPr>
              <w:jc w:val="center"/>
              <w:rPr>
                <w:rFonts w:ascii="Times New Roman" w:hAnsi="Times New Roman" w:cs="Times New Roman"/>
                <w:sz w:val="24"/>
                <w:szCs w:val="24"/>
                <w:lang w:val="en-US"/>
              </w:rPr>
            </w:pPr>
          </w:p>
        </w:tc>
        <w:tc>
          <w:tcPr>
            <w:tcW w:w="1276" w:type="dxa"/>
          </w:tcPr>
          <w:p w:rsidR="0009740B" w:rsidRPr="00E3243D" w:rsidRDefault="0009740B" w:rsidP="00334BFE">
            <w:pPr>
              <w:jc w:val="center"/>
              <w:rPr>
                <w:rFonts w:ascii="Times New Roman" w:hAnsi="Times New Roman" w:cs="Times New Roman"/>
                <w:sz w:val="24"/>
                <w:szCs w:val="24"/>
              </w:rPr>
            </w:pPr>
            <w:r w:rsidRPr="0087582A">
              <w:rPr>
                <w:rFonts w:ascii="Times New Roman" w:hAnsi="Times New Roman" w:cs="Times New Roman"/>
                <w:sz w:val="24"/>
                <w:szCs w:val="24"/>
                <w:lang w:val="en-US"/>
              </w:rPr>
              <w:t>0</w:t>
            </w:r>
            <w:r w:rsidRPr="00E3243D">
              <w:rPr>
                <w:rFonts w:ascii="Times New Roman" w:hAnsi="Times New Roman" w:cs="Times New Roman"/>
                <w:sz w:val="24"/>
                <w:szCs w:val="24"/>
              </w:rPr>
              <w:t>.077</w:t>
            </w:r>
          </w:p>
        </w:tc>
      </w:tr>
      <w:tr w:rsidR="0009740B" w:rsidRPr="00E3243D" w:rsidTr="00334BFE">
        <w:trPr>
          <w:trHeight w:val="89"/>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Never</w:t>
            </w:r>
          </w:p>
        </w:tc>
        <w:tc>
          <w:tcPr>
            <w:tcW w:w="1421"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93 (39)</w:t>
            </w:r>
          </w:p>
        </w:tc>
        <w:tc>
          <w:tcPr>
            <w:tcW w:w="138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118 (40)</w:t>
            </w:r>
          </w:p>
        </w:tc>
        <w:tc>
          <w:tcPr>
            <w:tcW w:w="1334"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62 (44)</w:t>
            </w:r>
          </w:p>
        </w:tc>
        <w:tc>
          <w:tcPr>
            <w:tcW w:w="1685"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157 (47)</w:t>
            </w:r>
          </w:p>
        </w:tc>
        <w:tc>
          <w:tcPr>
            <w:tcW w:w="141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35 (35)</w:t>
            </w:r>
          </w:p>
        </w:tc>
        <w:tc>
          <w:tcPr>
            <w:tcW w:w="1559"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62 (54)</w:t>
            </w:r>
          </w:p>
        </w:tc>
        <w:tc>
          <w:tcPr>
            <w:tcW w:w="1276" w:type="dxa"/>
          </w:tcPr>
          <w:p w:rsidR="0009740B" w:rsidRPr="00E3243D" w:rsidRDefault="0009740B" w:rsidP="00334BFE">
            <w:pPr>
              <w:jc w:val="center"/>
              <w:rPr>
                <w:rFonts w:ascii="Times New Roman" w:hAnsi="Times New Roman" w:cs="Times New Roman"/>
                <w:sz w:val="24"/>
                <w:szCs w:val="24"/>
              </w:rPr>
            </w:pPr>
          </w:p>
        </w:tc>
      </w:tr>
      <w:tr w:rsidR="0009740B" w:rsidRPr="00E3243D" w:rsidTr="00334BFE">
        <w:trPr>
          <w:trHeight w:val="89"/>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Current </w:t>
            </w:r>
          </w:p>
        </w:tc>
        <w:tc>
          <w:tcPr>
            <w:tcW w:w="1421"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37 (15)</w:t>
            </w:r>
          </w:p>
        </w:tc>
        <w:tc>
          <w:tcPr>
            <w:tcW w:w="138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35 (12)</w:t>
            </w:r>
          </w:p>
        </w:tc>
        <w:tc>
          <w:tcPr>
            <w:tcW w:w="1334"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15 (11)</w:t>
            </w:r>
          </w:p>
        </w:tc>
        <w:tc>
          <w:tcPr>
            <w:tcW w:w="1685"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33 (10)</w:t>
            </w:r>
          </w:p>
        </w:tc>
        <w:tc>
          <w:tcPr>
            <w:tcW w:w="141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12 (12)</w:t>
            </w:r>
          </w:p>
        </w:tc>
        <w:tc>
          <w:tcPr>
            <w:tcW w:w="1559"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14 (12)</w:t>
            </w:r>
          </w:p>
        </w:tc>
        <w:tc>
          <w:tcPr>
            <w:tcW w:w="1276" w:type="dxa"/>
          </w:tcPr>
          <w:p w:rsidR="0009740B" w:rsidRPr="00E3243D" w:rsidRDefault="0009740B" w:rsidP="00334BFE">
            <w:pPr>
              <w:jc w:val="center"/>
              <w:rPr>
                <w:rFonts w:ascii="Times New Roman" w:hAnsi="Times New Roman" w:cs="Times New Roman"/>
                <w:sz w:val="24"/>
                <w:szCs w:val="24"/>
              </w:rPr>
            </w:pPr>
          </w:p>
        </w:tc>
      </w:tr>
      <w:tr w:rsidR="0009740B" w:rsidRPr="00E3243D" w:rsidTr="00334BFE">
        <w:trPr>
          <w:trHeight w:val="89"/>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Former</w:t>
            </w:r>
          </w:p>
        </w:tc>
        <w:tc>
          <w:tcPr>
            <w:tcW w:w="1421"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111 (46)</w:t>
            </w:r>
          </w:p>
        </w:tc>
        <w:tc>
          <w:tcPr>
            <w:tcW w:w="138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145 (49)</w:t>
            </w:r>
          </w:p>
        </w:tc>
        <w:tc>
          <w:tcPr>
            <w:tcW w:w="1334"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65 (46)</w:t>
            </w:r>
          </w:p>
        </w:tc>
        <w:tc>
          <w:tcPr>
            <w:tcW w:w="1685"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146 (43)</w:t>
            </w:r>
          </w:p>
        </w:tc>
        <w:tc>
          <w:tcPr>
            <w:tcW w:w="141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52 (53)</w:t>
            </w:r>
          </w:p>
        </w:tc>
        <w:tc>
          <w:tcPr>
            <w:tcW w:w="1559"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39 (34)</w:t>
            </w:r>
          </w:p>
        </w:tc>
        <w:tc>
          <w:tcPr>
            <w:tcW w:w="1276" w:type="dxa"/>
          </w:tcPr>
          <w:p w:rsidR="0009740B" w:rsidRPr="00E3243D" w:rsidRDefault="0009740B" w:rsidP="00334BFE">
            <w:pPr>
              <w:jc w:val="center"/>
              <w:rPr>
                <w:rFonts w:ascii="Times New Roman" w:hAnsi="Times New Roman" w:cs="Times New Roman"/>
                <w:sz w:val="24"/>
                <w:szCs w:val="24"/>
              </w:rPr>
            </w:pPr>
          </w:p>
        </w:tc>
      </w:tr>
      <w:tr w:rsidR="0009740B" w:rsidRPr="00E3243D" w:rsidTr="00334BFE">
        <w:trPr>
          <w:trHeight w:val="89"/>
          <w:jc w:val="center"/>
        </w:trPr>
        <w:tc>
          <w:tcPr>
            <w:tcW w:w="3367" w:type="dxa"/>
          </w:tcPr>
          <w:p w:rsidR="0009740B" w:rsidRPr="00E3243D" w:rsidRDefault="0009740B" w:rsidP="00334BFE">
            <w:pPr>
              <w:tabs>
                <w:tab w:val="left" w:pos="765"/>
              </w:tabs>
              <w:rPr>
                <w:rFonts w:ascii="Times New Roman" w:hAnsi="Times New Roman" w:cs="Times New Roman"/>
                <w:sz w:val="24"/>
                <w:szCs w:val="24"/>
                <w:lang w:val="en-US"/>
              </w:rPr>
            </w:pPr>
            <w:r w:rsidRPr="00E3243D">
              <w:rPr>
                <w:rFonts w:ascii="Times New Roman" w:hAnsi="Times New Roman" w:cs="Times New Roman"/>
                <w:sz w:val="24"/>
                <w:szCs w:val="24"/>
                <w:lang w:val="en-US"/>
              </w:rPr>
              <w:t>Educational level:</w:t>
            </w:r>
          </w:p>
        </w:tc>
        <w:tc>
          <w:tcPr>
            <w:tcW w:w="1421" w:type="dxa"/>
          </w:tcPr>
          <w:p w:rsidR="0009740B" w:rsidRPr="00E3243D" w:rsidRDefault="0009740B" w:rsidP="00334BFE">
            <w:pPr>
              <w:jc w:val="center"/>
              <w:rPr>
                <w:rFonts w:ascii="Times New Roman" w:hAnsi="Times New Roman" w:cs="Times New Roman"/>
                <w:sz w:val="24"/>
                <w:szCs w:val="24"/>
              </w:rPr>
            </w:pPr>
          </w:p>
        </w:tc>
        <w:tc>
          <w:tcPr>
            <w:tcW w:w="1388" w:type="dxa"/>
          </w:tcPr>
          <w:p w:rsidR="0009740B" w:rsidRPr="00E3243D" w:rsidRDefault="0009740B" w:rsidP="00334BFE">
            <w:pPr>
              <w:jc w:val="center"/>
              <w:rPr>
                <w:rFonts w:ascii="Times New Roman" w:hAnsi="Times New Roman" w:cs="Times New Roman"/>
                <w:sz w:val="24"/>
                <w:szCs w:val="24"/>
              </w:rPr>
            </w:pPr>
          </w:p>
        </w:tc>
        <w:tc>
          <w:tcPr>
            <w:tcW w:w="1334" w:type="dxa"/>
          </w:tcPr>
          <w:p w:rsidR="0009740B" w:rsidRPr="00E3243D" w:rsidRDefault="0009740B" w:rsidP="00334BFE">
            <w:pPr>
              <w:jc w:val="center"/>
              <w:rPr>
                <w:rFonts w:ascii="Times New Roman" w:hAnsi="Times New Roman" w:cs="Times New Roman"/>
                <w:sz w:val="24"/>
                <w:szCs w:val="24"/>
              </w:rPr>
            </w:pPr>
          </w:p>
        </w:tc>
        <w:tc>
          <w:tcPr>
            <w:tcW w:w="1685" w:type="dxa"/>
          </w:tcPr>
          <w:p w:rsidR="0009740B" w:rsidRPr="00E3243D" w:rsidRDefault="0009740B" w:rsidP="00334BFE">
            <w:pPr>
              <w:jc w:val="center"/>
              <w:rPr>
                <w:rFonts w:ascii="Times New Roman" w:hAnsi="Times New Roman" w:cs="Times New Roman"/>
                <w:sz w:val="24"/>
                <w:szCs w:val="24"/>
              </w:rPr>
            </w:pPr>
          </w:p>
        </w:tc>
        <w:tc>
          <w:tcPr>
            <w:tcW w:w="1418" w:type="dxa"/>
          </w:tcPr>
          <w:p w:rsidR="0009740B" w:rsidRPr="00E3243D" w:rsidRDefault="0009740B" w:rsidP="00334BFE">
            <w:pPr>
              <w:jc w:val="center"/>
              <w:rPr>
                <w:rFonts w:ascii="Times New Roman" w:hAnsi="Times New Roman" w:cs="Times New Roman"/>
                <w:sz w:val="24"/>
                <w:szCs w:val="24"/>
              </w:rPr>
            </w:pPr>
          </w:p>
        </w:tc>
        <w:tc>
          <w:tcPr>
            <w:tcW w:w="1559" w:type="dxa"/>
          </w:tcPr>
          <w:p w:rsidR="0009740B" w:rsidRPr="00E3243D" w:rsidRDefault="0009740B" w:rsidP="00334BFE">
            <w:pPr>
              <w:jc w:val="center"/>
              <w:rPr>
                <w:rFonts w:ascii="Times New Roman" w:hAnsi="Times New Roman" w:cs="Times New Roman"/>
                <w:sz w:val="24"/>
                <w:szCs w:val="24"/>
              </w:rPr>
            </w:pPr>
          </w:p>
        </w:tc>
        <w:tc>
          <w:tcPr>
            <w:tcW w:w="1276"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b/>
                <w:sz w:val="24"/>
                <w:szCs w:val="24"/>
                <w:lang w:val="en-US"/>
              </w:rPr>
              <w:t>&lt;0.001</w:t>
            </w:r>
          </w:p>
        </w:tc>
      </w:tr>
      <w:tr w:rsidR="0009740B" w:rsidRPr="00E3243D" w:rsidTr="00334BFE">
        <w:trPr>
          <w:trHeight w:val="89"/>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Higher education/technician</w:t>
            </w:r>
          </w:p>
        </w:tc>
        <w:tc>
          <w:tcPr>
            <w:tcW w:w="1421"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63 (26)</w:t>
            </w:r>
          </w:p>
        </w:tc>
        <w:tc>
          <w:tcPr>
            <w:tcW w:w="138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51 (17)</w:t>
            </w:r>
          </w:p>
        </w:tc>
        <w:tc>
          <w:tcPr>
            <w:tcW w:w="1334"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44 (31)</w:t>
            </w:r>
          </w:p>
        </w:tc>
        <w:tc>
          <w:tcPr>
            <w:tcW w:w="1685"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52 (15)</w:t>
            </w:r>
          </w:p>
        </w:tc>
        <w:tc>
          <w:tcPr>
            <w:tcW w:w="141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24 (24)</w:t>
            </w:r>
          </w:p>
        </w:tc>
        <w:tc>
          <w:tcPr>
            <w:tcW w:w="1559"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34 (30)</w:t>
            </w:r>
          </w:p>
        </w:tc>
        <w:tc>
          <w:tcPr>
            <w:tcW w:w="1276" w:type="dxa"/>
          </w:tcPr>
          <w:p w:rsidR="0009740B" w:rsidRPr="00E3243D" w:rsidRDefault="0009740B" w:rsidP="00334BFE">
            <w:pPr>
              <w:jc w:val="center"/>
              <w:rPr>
                <w:rFonts w:ascii="Times New Roman" w:hAnsi="Times New Roman" w:cs="Times New Roman"/>
                <w:sz w:val="24"/>
                <w:szCs w:val="24"/>
              </w:rPr>
            </w:pPr>
          </w:p>
        </w:tc>
      </w:tr>
      <w:tr w:rsidR="0009740B" w:rsidRPr="00E3243D" w:rsidTr="00334BFE">
        <w:trPr>
          <w:trHeight w:val="89"/>
          <w:jc w:val="center"/>
        </w:trPr>
        <w:tc>
          <w:tcPr>
            <w:tcW w:w="3367" w:type="dxa"/>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Secondary education</w:t>
            </w:r>
          </w:p>
        </w:tc>
        <w:tc>
          <w:tcPr>
            <w:tcW w:w="1421"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60 (25)</w:t>
            </w:r>
          </w:p>
        </w:tc>
        <w:tc>
          <w:tcPr>
            <w:tcW w:w="138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77 (26)</w:t>
            </w:r>
          </w:p>
        </w:tc>
        <w:tc>
          <w:tcPr>
            <w:tcW w:w="1334"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44 (31)</w:t>
            </w:r>
          </w:p>
        </w:tc>
        <w:tc>
          <w:tcPr>
            <w:tcW w:w="1685"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111 (33)</w:t>
            </w:r>
          </w:p>
        </w:tc>
        <w:tc>
          <w:tcPr>
            <w:tcW w:w="1418"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32 (32)</w:t>
            </w:r>
          </w:p>
        </w:tc>
        <w:tc>
          <w:tcPr>
            <w:tcW w:w="1559" w:type="dxa"/>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44 (38)</w:t>
            </w:r>
          </w:p>
        </w:tc>
        <w:tc>
          <w:tcPr>
            <w:tcW w:w="1276" w:type="dxa"/>
          </w:tcPr>
          <w:p w:rsidR="0009740B" w:rsidRPr="00E3243D" w:rsidRDefault="0009740B" w:rsidP="00334BFE">
            <w:pPr>
              <w:jc w:val="center"/>
              <w:rPr>
                <w:rFonts w:ascii="Times New Roman" w:hAnsi="Times New Roman" w:cs="Times New Roman"/>
                <w:sz w:val="24"/>
                <w:szCs w:val="24"/>
              </w:rPr>
            </w:pPr>
          </w:p>
        </w:tc>
      </w:tr>
      <w:tr w:rsidR="0009740B" w:rsidRPr="00E3243D" w:rsidTr="00334BFE">
        <w:trPr>
          <w:trHeight w:val="89"/>
          <w:jc w:val="center"/>
        </w:trPr>
        <w:tc>
          <w:tcPr>
            <w:tcW w:w="3367" w:type="dxa"/>
            <w:tcBorders>
              <w:bottom w:val="single" w:sz="12" w:space="0" w:color="auto"/>
            </w:tcBorders>
          </w:tcPr>
          <w:p w:rsidR="0009740B" w:rsidRPr="00E3243D" w:rsidRDefault="0009740B" w:rsidP="00334BFE">
            <w:pPr>
              <w:rPr>
                <w:rFonts w:ascii="Times New Roman" w:hAnsi="Times New Roman" w:cs="Times New Roman"/>
                <w:sz w:val="24"/>
                <w:szCs w:val="24"/>
                <w:lang w:val="en-US"/>
              </w:rPr>
            </w:pPr>
            <w:r w:rsidRPr="00E3243D">
              <w:rPr>
                <w:rFonts w:ascii="Times New Roman" w:hAnsi="Times New Roman" w:cs="Times New Roman"/>
                <w:sz w:val="24"/>
                <w:szCs w:val="24"/>
                <w:lang w:val="en-US"/>
              </w:rPr>
              <w:t xml:space="preserve">    Primary education/illiterate</w:t>
            </w:r>
          </w:p>
        </w:tc>
        <w:tc>
          <w:tcPr>
            <w:tcW w:w="1421" w:type="dxa"/>
            <w:tcBorders>
              <w:bottom w:val="single" w:sz="12" w:space="0" w:color="auto"/>
            </w:tcBorders>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118 (49)</w:t>
            </w:r>
          </w:p>
        </w:tc>
        <w:tc>
          <w:tcPr>
            <w:tcW w:w="1388" w:type="dxa"/>
            <w:tcBorders>
              <w:bottom w:val="single" w:sz="12" w:space="0" w:color="auto"/>
            </w:tcBorders>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170 (57)</w:t>
            </w:r>
          </w:p>
        </w:tc>
        <w:tc>
          <w:tcPr>
            <w:tcW w:w="1334" w:type="dxa"/>
            <w:tcBorders>
              <w:bottom w:val="single" w:sz="12" w:space="0" w:color="auto"/>
            </w:tcBorders>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54 (38)</w:t>
            </w:r>
          </w:p>
        </w:tc>
        <w:tc>
          <w:tcPr>
            <w:tcW w:w="1685" w:type="dxa"/>
            <w:tcBorders>
              <w:bottom w:val="single" w:sz="12" w:space="0" w:color="auto"/>
            </w:tcBorders>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173 (51)</w:t>
            </w:r>
          </w:p>
        </w:tc>
        <w:tc>
          <w:tcPr>
            <w:tcW w:w="1418" w:type="dxa"/>
            <w:tcBorders>
              <w:bottom w:val="single" w:sz="12" w:space="0" w:color="auto"/>
            </w:tcBorders>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43 (43)</w:t>
            </w:r>
          </w:p>
        </w:tc>
        <w:tc>
          <w:tcPr>
            <w:tcW w:w="1559" w:type="dxa"/>
            <w:tcBorders>
              <w:bottom w:val="single" w:sz="12" w:space="0" w:color="auto"/>
            </w:tcBorders>
          </w:tcPr>
          <w:p w:rsidR="0009740B" w:rsidRPr="00E3243D" w:rsidRDefault="0009740B" w:rsidP="00334BFE">
            <w:pPr>
              <w:jc w:val="center"/>
              <w:rPr>
                <w:rFonts w:ascii="Times New Roman" w:hAnsi="Times New Roman" w:cs="Times New Roman"/>
                <w:sz w:val="24"/>
                <w:szCs w:val="24"/>
              </w:rPr>
            </w:pPr>
            <w:r w:rsidRPr="00E3243D">
              <w:rPr>
                <w:rFonts w:ascii="Times New Roman" w:hAnsi="Times New Roman" w:cs="Times New Roman"/>
                <w:sz w:val="24"/>
                <w:szCs w:val="24"/>
              </w:rPr>
              <w:t>37 (32)</w:t>
            </w:r>
          </w:p>
        </w:tc>
        <w:tc>
          <w:tcPr>
            <w:tcW w:w="1276" w:type="dxa"/>
            <w:tcBorders>
              <w:bottom w:val="single" w:sz="12" w:space="0" w:color="auto"/>
            </w:tcBorders>
          </w:tcPr>
          <w:p w:rsidR="0009740B" w:rsidRPr="00E3243D" w:rsidRDefault="0009740B" w:rsidP="00334BFE">
            <w:pPr>
              <w:jc w:val="center"/>
              <w:rPr>
                <w:rFonts w:ascii="Times New Roman" w:hAnsi="Times New Roman" w:cs="Times New Roman"/>
                <w:sz w:val="24"/>
                <w:szCs w:val="24"/>
              </w:rPr>
            </w:pPr>
          </w:p>
        </w:tc>
      </w:tr>
    </w:tbl>
    <w:p w:rsidR="0009740B" w:rsidRDefault="0009740B" w:rsidP="0009740B">
      <w:pPr>
        <w:spacing w:line="480" w:lineRule="auto"/>
        <w:rPr>
          <w:rFonts w:ascii="Times New Roman" w:hAnsi="Times New Roman" w:cs="Times New Roman"/>
          <w:sz w:val="24"/>
          <w:lang w:val="en-US"/>
        </w:rPr>
      </w:pPr>
    </w:p>
    <w:p w:rsidR="0009740B" w:rsidRPr="0009740B" w:rsidRDefault="0009740B" w:rsidP="0009740B">
      <w:pPr>
        <w:spacing w:after="0" w:line="480" w:lineRule="auto"/>
        <w:jc w:val="both"/>
        <w:rPr>
          <w:rFonts w:ascii="Times New Roman" w:hAnsi="Times New Roman" w:cs="Times New Roman"/>
          <w:sz w:val="24"/>
          <w:lang w:val="en-US"/>
        </w:rPr>
      </w:pPr>
      <w:r w:rsidRPr="0009740B">
        <w:rPr>
          <w:rFonts w:ascii="Times New Roman" w:hAnsi="Times New Roman" w:cs="Times New Roman"/>
          <w:sz w:val="24"/>
          <w:lang w:val="en-US"/>
        </w:rPr>
        <w:lastRenderedPageBreak/>
        <w:t xml:space="preserve">Data are expressed as means and standard deviations (SDs) for continuous variables or numbers and percentages (%) for categorical variables. </w:t>
      </w:r>
      <w:r w:rsidRPr="0009740B">
        <w:rPr>
          <w:rFonts w:ascii="Times New Roman" w:hAnsi="Times New Roman" w:cs="Times New Roman"/>
          <w:i/>
          <w:sz w:val="24"/>
          <w:lang w:val="en-US"/>
        </w:rPr>
        <w:t>P</w:t>
      </w:r>
      <w:r w:rsidRPr="0009740B">
        <w:rPr>
          <w:rFonts w:ascii="Times New Roman" w:hAnsi="Times New Roman" w:cs="Times New Roman"/>
          <w:sz w:val="24"/>
          <w:lang w:val="en-US"/>
        </w:rPr>
        <w:t xml:space="preserve">-value threshold was set at &lt;0.05 and determined using one-way analysis of variance (ANOVA) for continuous variables and chi-square test (χ²) for categorical variables. </w:t>
      </w:r>
    </w:p>
    <w:p w:rsidR="0009740B" w:rsidRPr="0009740B" w:rsidRDefault="0009740B" w:rsidP="0009740B">
      <w:pPr>
        <w:spacing w:after="0" w:line="480" w:lineRule="auto"/>
        <w:jc w:val="both"/>
        <w:rPr>
          <w:rFonts w:ascii="Times New Roman" w:hAnsi="Times New Roman" w:cs="Times New Roman"/>
          <w:sz w:val="24"/>
          <w:lang w:val="en-US"/>
        </w:rPr>
      </w:pPr>
      <w:proofErr w:type="spellStart"/>
      <w:r w:rsidRPr="0009740B">
        <w:rPr>
          <w:rFonts w:ascii="Times New Roman" w:hAnsi="Times New Roman" w:cs="Times New Roman"/>
          <w:sz w:val="24"/>
          <w:lang w:val="en-US"/>
        </w:rPr>
        <w:t>MetS</w:t>
      </w:r>
      <w:proofErr w:type="spellEnd"/>
      <w:r w:rsidRPr="0009740B">
        <w:rPr>
          <w:rFonts w:ascii="Times New Roman" w:hAnsi="Times New Roman" w:cs="Times New Roman"/>
          <w:sz w:val="24"/>
          <w:lang w:val="en-US"/>
        </w:rPr>
        <w:t xml:space="preserve"> components, as one of the major inclusion criteria were evaluated at the first screening visit during run-in period, according to the harmonized definition of the joint statement from the International Diabetes Federation/National Heart, Lung and Blood Institute/American Heart Association (2009) </w:t>
      </w:r>
      <w:r w:rsidRPr="0009740B">
        <w:rPr>
          <w:rFonts w:ascii="Times New Roman" w:hAnsi="Times New Roman" w:cs="Times New Roman"/>
          <w:sz w:val="24"/>
          <w:lang w:val="en-US"/>
        </w:rPr>
        <w:fldChar w:fldCharType="begin" w:fldLock="1"/>
      </w:r>
      <w:r w:rsidRPr="0009740B">
        <w:rPr>
          <w:rFonts w:ascii="Times New Roman" w:hAnsi="Times New Roman" w:cs="Times New Roman"/>
          <w:sz w:val="24"/>
          <w:lang w:val="en-US"/>
        </w:rPr>
        <w:instrText>ADDIN CSL_CITATION {"citationItems":[{"id":"ITEM-1","itemData":{"DOI":"10.1161/CIRCULATIONAHA.109.192644","ISSN":"00097322","PMID":"19805654","abstract":"A cluster of risk factors for cardiovascular disease and type 2 diabetes mellitus, which occur together more often than by chance alone, have become known as the metabolic syndrome. The risk factors include raised blood pressure, dyslipidemia (raised triglycerides and lowered high-density lipoprotein cholesterol), raised fasting glucose, and central obesity. Various diagnostic criteria have been proposed by different organizations over the past decade. Most recently, these have come from the International Diabetes Federation and the American Heart Association/National Heart, Lung, and Blood Institute. The main difference concerns the measure for central obesity, with this being an obligatory component in the International Diabetes Federation definition, lower than in the American Heart Association/National Heart, Lung, and Blood Institute criteria, and ethnic specific. The present article represents the outcome of a meeting between several major organizations in an attempt to unify criteria. It was agreed that there should not be an obligatory component, but that waist measurement would continue to be a useful preliminary screening tool. Three abnormal findings out of 5 would qualify a person for the metabolic syndrome. A single set of cut points would be used for all components except waist circumference, for which further work is required. In the interim, national or regional cut points for waist circumference can be used.","author":[{"dropping-particle":"","family":"Alberti","given":"K. G M M","non-dropping-particle":"","parse-names":false,"suffix":""},{"dropping-particle":"","family":"Eckel","given":"Robert H.","non-dropping-particle":"","parse-names":false,"suffix":""},{"dropping-particle":"","family":"Grundy","given":"Scott M.","non-dropping-particle":"","parse-names":false,"suffix":""},{"dropping-particle":"","family":"Zimmet","given":"Paul Z.","non-dropping-particle":"","parse-names":false,"suffix":""},{"dropping-particle":"","family":"Cleeman","given":"James I.","non-dropping-particle":"","parse-names":false,"suffix":""},{"dropping-particle":"","family":"Donato","given":"Karen A.","non-dropping-particle":"","parse-names":false,"suffix":""},{"dropping-particle":"","family":"Fruchart","given":"Jean Charles","non-dropping-particle":"","parse-names":false,"suffix":""},{"dropping-particle":"","family":"James","given":"W. Philip T","non-dropping-particle":"","parse-names":false,"suffix":""},{"dropping-particle":"","family":"Loria","given":"Catherine M.","non-dropping-particle":"","parse-names":false,"suffix":""},{"dropping-particle":"","family":"Smith","given":"Sidney C.","non-dropping-particle":"","parse-names":false,"suffix":""}],"container-title":"Circulation","id":"ITEM-1","issue":"16","issued":{"date-parts":[["2009"]]},"page":"1640-1645","title":"Harmonizing the metabolic syndrome: a joint interim statement of the International Diabetes Federation Task Force on Epidemiology and Prevention; National Heart, Lung, and Blood Institute; American Heart Association; World Heart Federation; International ","type":"article-journal","volume":"120"},"uris":["http://www.mendeley.com/documents/?uuid=485bfba7-999c-4d39-8ff9-91e3b4ed4e2c"]}],"mendeley":{"formattedCitation":"[1]","plainTextFormattedCitation":"[1]","previouslyFormattedCitation":"(Alberti et al., 2009)"},"properties":{"noteIndex":0},"schema":"https://github.com/citation-style-language/schema/raw/master/csl-citation.json"}</w:instrText>
      </w:r>
      <w:r w:rsidRPr="0009740B">
        <w:rPr>
          <w:rFonts w:ascii="Times New Roman" w:hAnsi="Times New Roman" w:cs="Times New Roman"/>
          <w:sz w:val="24"/>
          <w:lang w:val="en-US"/>
        </w:rPr>
        <w:fldChar w:fldCharType="separate"/>
      </w:r>
      <w:r w:rsidRPr="0009740B">
        <w:rPr>
          <w:rFonts w:ascii="Times New Roman" w:hAnsi="Times New Roman" w:cs="Times New Roman"/>
          <w:noProof/>
          <w:sz w:val="24"/>
          <w:lang w:val="en-US"/>
        </w:rPr>
        <w:t>[1]</w:t>
      </w:r>
      <w:r w:rsidRPr="0009740B">
        <w:rPr>
          <w:rFonts w:ascii="Times New Roman" w:hAnsi="Times New Roman" w:cs="Times New Roman"/>
          <w:sz w:val="24"/>
          <w:lang w:val="en-US"/>
        </w:rPr>
        <w:fldChar w:fldCharType="end"/>
      </w:r>
      <w:r w:rsidRPr="0009740B">
        <w:rPr>
          <w:rFonts w:ascii="Times New Roman" w:hAnsi="Times New Roman" w:cs="Times New Roman"/>
          <w:sz w:val="24"/>
          <w:lang w:val="en-US"/>
        </w:rPr>
        <w:t>.</w:t>
      </w:r>
    </w:p>
    <w:p w:rsidR="0009740B" w:rsidRPr="0009740B" w:rsidRDefault="0009740B" w:rsidP="0009740B">
      <w:pPr>
        <w:spacing w:after="0" w:line="480" w:lineRule="auto"/>
        <w:jc w:val="both"/>
        <w:rPr>
          <w:rFonts w:ascii="Times New Roman" w:hAnsi="Times New Roman" w:cs="Times New Roman"/>
          <w:sz w:val="24"/>
          <w:lang w:val="en-US"/>
        </w:rPr>
      </w:pPr>
      <w:r w:rsidRPr="0009740B">
        <w:rPr>
          <w:rFonts w:ascii="Times New Roman" w:hAnsi="Times New Roman" w:cs="Times New Roman"/>
          <w:sz w:val="24"/>
          <w:lang w:val="en-US"/>
        </w:rPr>
        <w:t xml:space="preserve">Abbreviations: </w:t>
      </w:r>
      <w:proofErr w:type="spellStart"/>
      <w:r w:rsidRPr="0009740B">
        <w:rPr>
          <w:rFonts w:ascii="Times New Roman" w:hAnsi="Times New Roman" w:cs="Times New Roman"/>
          <w:sz w:val="24"/>
          <w:lang w:val="en-US"/>
        </w:rPr>
        <w:t>erMedDiet</w:t>
      </w:r>
      <w:proofErr w:type="spellEnd"/>
      <w:r w:rsidRPr="0009740B">
        <w:rPr>
          <w:rFonts w:ascii="Times New Roman" w:hAnsi="Times New Roman" w:cs="Times New Roman"/>
          <w:sz w:val="24"/>
          <w:lang w:val="en-US"/>
        </w:rPr>
        <w:t xml:space="preserve"> – energy-restricted Mediterranean diet; </w:t>
      </w:r>
      <w:proofErr w:type="spellStart"/>
      <w:r w:rsidRPr="0009740B">
        <w:rPr>
          <w:rFonts w:ascii="Times New Roman" w:hAnsi="Times New Roman" w:cs="Times New Roman"/>
          <w:sz w:val="24"/>
          <w:lang w:val="en-US"/>
        </w:rPr>
        <w:t>MetS</w:t>
      </w:r>
      <w:proofErr w:type="spellEnd"/>
      <w:r w:rsidRPr="0009740B">
        <w:rPr>
          <w:rFonts w:ascii="Times New Roman" w:hAnsi="Times New Roman" w:cs="Times New Roman"/>
          <w:sz w:val="24"/>
          <w:lang w:val="en-US"/>
        </w:rPr>
        <w:t xml:space="preserve"> – metabolic syndrome; PA – physical activity; MVPA – moderate-to-vigorous physical activity; SB – sedentary </w:t>
      </w:r>
      <w:proofErr w:type="spellStart"/>
      <w:r w:rsidRPr="0009740B">
        <w:rPr>
          <w:rFonts w:ascii="Times New Roman" w:hAnsi="Times New Roman" w:cs="Times New Roman"/>
          <w:sz w:val="24"/>
          <w:lang w:val="en-US"/>
        </w:rPr>
        <w:t>behaviours</w:t>
      </w:r>
      <w:proofErr w:type="spellEnd"/>
      <w:r w:rsidRPr="0009740B">
        <w:rPr>
          <w:rFonts w:ascii="Times New Roman" w:hAnsi="Times New Roman" w:cs="Times New Roman"/>
          <w:sz w:val="24"/>
          <w:lang w:val="en-US"/>
        </w:rPr>
        <w:t>, VAT – visceral adipose tissue.</w:t>
      </w:r>
    </w:p>
    <w:p w:rsidR="0009740B" w:rsidRPr="0009740B" w:rsidRDefault="0009740B" w:rsidP="0009740B">
      <w:pPr>
        <w:spacing w:after="0" w:line="480" w:lineRule="auto"/>
        <w:jc w:val="both"/>
        <w:rPr>
          <w:rFonts w:ascii="Times New Roman" w:hAnsi="Times New Roman" w:cs="Times New Roman"/>
          <w:sz w:val="24"/>
          <w:lang w:val="en-US"/>
        </w:rPr>
      </w:pPr>
    </w:p>
    <w:p w:rsidR="0009740B" w:rsidRPr="0009740B" w:rsidRDefault="0009740B" w:rsidP="0009740B">
      <w:pPr>
        <w:spacing w:after="0" w:line="480" w:lineRule="auto"/>
        <w:jc w:val="both"/>
        <w:rPr>
          <w:rFonts w:ascii="Times New Roman" w:hAnsi="Times New Roman" w:cs="Times New Roman"/>
          <w:b/>
          <w:sz w:val="24"/>
          <w:lang w:val="en-US"/>
        </w:rPr>
      </w:pPr>
      <w:r w:rsidRPr="0009740B">
        <w:rPr>
          <w:rFonts w:ascii="Times New Roman" w:hAnsi="Times New Roman" w:cs="Times New Roman"/>
          <w:b/>
          <w:sz w:val="24"/>
          <w:lang w:val="en-US"/>
        </w:rPr>
        <w:t>References</w:t>
      </w:r>
    </w:p>
    <w:p w:rsidR="0009740B" w:rsidRPr="0009740B" w:rsidRDefault="0009740B" w:rsidP="0009740B">
      <w:pPr>
        <w:widowControl w:val="0"/>
        <w:autoSpaceDE w:val="0"/>
        <w:autoSpaceDN w:val="0"/>
        <w:adjustRightInd w:val="0"/>
        <w:spacing w:line="480" w:lineRule="auto"/>
        <w:ind w:left="640" w:hanging="640"/>
        <w:jc w:val="both"/>
        <w:rPr>
          <w:rFonts w:ascii="Times New Roman" w:hAnsi="Times New Roman" w:cs="Times New Roman"/>
          <w:noProof/>
          <w:sz w:val="24"/>
          <w:lang w:val="en-US"/>
        </w:rPr>
      </w:pPr>
      <w:r w:rsidRPr="0009740B">
        <w:rPr>
          <w:rFonts w:ascii="Times New Roman" w:hAnsi="Times New Roman" w:cs="Times New Roman"/>
          <w:sz w:val="24"/>
          <w:lang w:val="en-US"/>
        </w:rPr>
        <w:fldChar w:fldCharType="begin" w:fldLock="1"/>
      </w:r>
      <w:r w:rsidRPr="0009740B">
        <w:rPr>
          <w:rFonts w:ascii="Times New Roman" w:hAnsi="Times New Roman" w:cs="Times New Roman"/>
          <w:sz w:val="24"/>
          <w:lang w:val="en-US"/>
        </w:rPr>
        <w:instrText xml:space="preserve">ADDIN Mendeley Bibliography CSL_BIBLIOGRAPHY </w:instrText>
      </w:r>
      <w:r w:rsidRPr="0009740B">
        <w:rPr>
          <w:rFonts w:ascii="Times New Roman" w:hAnsi="Times New Roman" w:cs="Times New Roman"/>
          <w:sz w:val="24"/>
          <w:lang w:val="en-US"/>
        </w:rPr>
        <w:fldChar w:fldCharType="separate"/>
      </w:r>
      <w:r w:rsidRPr="0009740B">
        <w:rPr>
          <w:rFonts w:ascii="Times New Roman" w:hAnsi="Times New Roman" w:cs="Times New Roman"/>
          <w:noProof/>
          <w:sz w:val="24"/>
          <w:szCs w:val="24"/>
          <w:lang w:val="en-US"/>
        </w:rPr>
        <w:t xml:space="preserve">1. </w:t>
      </w:r>
      <w:r w:rsidRPr="0009740B">
        <w:rPr>
          <w:rFonts w:ascii="Times New Roman" w:hAnsi="Times New Roman" w:cs="Times New Roman"/>
          <w:noProof/>
          <w:sz w:val="24"/>
          <w:szCs w:val="24"/>
          <w:lang w:val="en-US"/>
        </w:rPr>
        <w:tab/>
        <w:t>Alberti KGMM, Eckel RH, Grundy SM, Zimmet PZ, Cleeman JI, Donato KA,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 1640–1645. doi:10.1161/CIRCULATIONAHA.109.192644</w:t>
      </w:r>
    </w:p>
    <w:p w:rsidR="00DD4209" w:rsidRDefault="0009740B" w:rsidP="0009740B">
      <w:r w:rsidRPr="0009740B">
        <w:rPr>
          <w:rFonts w:ascii="Times New Roman" w:hAnsi="Times New Roman" w:cs="Times New Roman"/>
          <w:sz w:val="24"/>
          <w:lang w:val="en-US"/>
        </w:rPr>
        <w:fldChar w:fldCharType="end"/>
      </w:r>
    </w:p>
    <w:sectPr w:rsidR="00DD4209" w:rsidSect="0009740B">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0B"/>
    <w:rsid w:val="0009740B"/>
    <w:rsid w:val="00D03F35"/>
    <w:rsid w:val="00D56E06"/>
    <w:rsid w:val="00DD4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0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0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Hospital Universitari Son Espases</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Anna Konieczna Konieczna</dc:creator>
  <cp:lastModifiedBy>Jadwiga Anna Konieczna Konieczna</cp:lastModifiedBy>
  <cp:revision>3</cp:revision>
  <dcterms:created xsi:type="dcterms:W3CDTF">2018-12-10T09:48:00Z</dcterms:created>
  <dcterms:modified xsi:type="dcterms:W3CDTF">2019-01-04T09:45:00Z</dcterms:modified>
</cp:coreProperties>
</file>