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EC77B" w14:textId="7A10EA25" w:rsidR="007541EF" w:rsidRPr="00C9149B" w:rsidRDefault="00DD6DAE" w:rsidP="007541EF">
      <w:pPr>
        <w:rPr>
          <w:rFonts w:cs="Arial"/>
          <w:b/>
          <w:sz w:val="24"/>
          <w:szCs w:val="24"/>
          <w:lang w:val="en-US"/>
        </w:rPr>
      </w:pPr>
      <w:r w:rsidRPr="00C9149B">
        <w:rPr>
          <w:rFonts w:cs="Arial"/>
          <w:b/>
          <w:sz w:val="24"/>
          <w:szCs w:val="24"/>
          <w:lang w:val="en-US"/>
        </w:rPr>
        <w:t xml:space="preserve">S3 Table. </w:t>
      </w:r>
      <w:r w:rsidR="007541EF" w:rsidRPr="00C9149B">
        <w:rPr>
          <w:rFonts w:cs="Arial"/>
          <w:b/>
          <w:sz w:val="24"/>
          <w:szCs w:val="24"/>
          <w:lang w:val="en-US"/>
        </w:rPr>
        <w:t>Item characteristics of the RIKNO 2.0 and MSKQ</w:t>
      </w:r>
      <w:r w:rsidR="005A48E3" w:rsidRPr="00C9149B">
        <w:rPr>
          <w:rFonts w:cs="Arial"/>
          <w:b/>
          <w:sz w:val="24"/>
          <w:szCs w:val="24"/>
          <w:lang w:val="en-US"/>
        </w:rPr>
        <w:t>.</w:t>
      </w:r>
    </w:p>
    <w:tbl>
      <w:tblPr>
        <w:tblW w:w="9498" w:type="dxa"/>
        <w:tblBorders>
          <w:top w:val="single" w:sz="4" w:space="0" w:color="auto"/>
          <w:bottom w:val="single" w:sz="4" w:space="0" w:color="auto"/>
        </w:tblBorders>
        <w:shd w:val="clear" w:color="auto" w:fill="FFFFFF" w:themeFill="background1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20" w:firstRow="1" w:lastRow="0" w:firstColumn="0" w:lastColumn="0" w:noHBand="0" w:noVBand="1"/>
      </w:tblPr>
      <w:tblGrid>
        <w:gridCol w:w="1321"/>
        <w:gridCol w:w="1640"/>
        <w:gridCol w:w="628"/>
        <w:gridCol w:w="2552"/>
        <w:gridCol w:w="1984"/>
        <w:gridCol w:w="1373"/>
      </w:tblGrid>
      <w:tr w:rsidR="007541EF" w:rsidRPr="00C9149B" w14:paraId="46CBBB04" w14:textId="77777777" w:rsidTr="00C20516">
        <w:trPr>
          <w:trHeight w:val="545"/>
        </w:trPr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77892E" w14:textId="77777777" w:rsidR="007541EF" w:rsidRPr="00C9149B" w:rsidRDefault="00A431D4" w:rsidP="005A48E3">
            <w:pPr>
              <w:spacing w:after="0"/>
              <w:jc w:val="center"/>
              <w:rPr>
                <w:rFonts w:cs="Arial"/>
                <w:bCs/>
                <w:sz w:val="24"/>
                <w:szCs w:val="24"/>
                <w:lang w:val="en-US"/>
              </w:rPr>
            </w:pPr>
            <w:r w:rsidRPr="00C9149B">
              <w:rPr>
                <w:rFonts w:cs="Arial"/>
                <w:bCs/>
                <w:sz w:val="24"/>
                <w:szCs w:val="24"/>
                <w:lang w:val="en-US"/>
              </w:rPr>
              <w:t>Instrument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69F33" w14:textId="77777777" w:rsidR="007541EF" w:rsidRPr="00C9149B" w:rsidRDefault="007541EF" w:rsidP="005A48E3">
            <w:pPr>
              <w:spacing w:after="0"/>
              <w:rPr>
                <w:rFonts w:cs="Arial"/>
                <w:sz w:val="24"/>
                <w:szCs w:val="24"/>
              </w:rPr>
            </w:pPr>
            <w:r w:rsidRPr="00C9149B">
              <w:rPr>
                <w:rFonts w:cs="Arial"/>
                <w:bCs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63A2C" w14:textId="77777777" w:rsidR="007541EF" w:rsidRPr="00C9149B" w:rsidRDefault="007541EF" w:rsidP="005A48E3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C9149B">
              <w:rPr>
                <w:rFonts w:cs="Arial"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2913D" w14:textId="77777777" w:rsidR="007541EF" w:rsidRPr="00C9149B" w:rsidRDefault="007541EF" w:rsidP="005A48E3">
            <w:pPr>
              <w:spacing w:after="0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C9149B">
              <w:rPr>
                <w:rFonts w:cs="Arial"/>
                <w:bCs/>
                <w:sz w:val="24"/>
                <w:szCs w:val="24"/>
                <w:lang w:val="en-US"/>
              </w:rPr>
              <w:t>Mean item difficulty</w:t>
            </w:r>
            <w:r w:rsidR="005A48E3" w:rsidRPr="00C9149B">
              <w:rPr>
                <w:rFonts w:cs="Arial"/>
                <w:bCs/>
                <w:sz w:val="24"/>
                <w:szCs w:val="24"/>
                <w:lang w:val="en-US"/>
              </w:rPr>
              <w:t xml:space="preserve"> </w:t>
            </w:r>
            <w:r w:rsidRPr="00C9149B">
              <w:rPr>
                <w:rFonts w:cs="Arial"/>
                <w:bCs/>
                <w:sz w:val="24"/>
                <w:szCs w:val="24"/>
                <w:lang w:val="en-US"/>
              </w:rPr>
              <w:t>(SD, range)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A902E" w14:textId="77777777" w:rsidR="007541EF" w:rsidRPr="00C9149B" w:rsidRDefault="007541EF" w:rsidP="005A48E3">
            <w:pPr>
              <w:spacing w:after="0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C9149B">
              <w:rPr>
                <w:rFonts w:cs="Arial"/>
                <w:bCs/>
                <w:sz w:val="24"/>
                <w:szCs w:val="24"/>
                <w:lang w:val="en-US"/>
              </w:rPr>
              <w:t xml:space="preserve">Mean </w:t>
            </w:r>
            <w:proofErr w:type="spellStart"/>
            <w:r w:rsidRPr="00C9149B">
              <w:rPr>
                <w:rFonts w:cs="Arial"/>
                <w:bCs/>
                <w:sz w:val="24"/>
                <w:szCs w:val="24"/>
                <w:lang w:val="en-US"/>
              </w:rPr>
              <w:t>r</w:t>
            </w:r>
            <w:r w:rsidRPr="00C9149B">
              <w:rPr>
                <w:rFonts w:cs="Arial"/>
                <w:bCs/>
                <w:sz w:val="24"/>
                <w:szCs w:val="24"/>
                <w:vertAlign w:val="subscript"/>
                <w:lang w:val="en-US"/>
              </w:rPr>
              <w:t>it</w:t>
            </w:r>
            <w:proofErr w:type="spellEnd"/>
            <w:r w:rsidRPr="00C9149B">
              <w:rPr>
                <w:rFonts w:cs="Arial"/>
                <w:bCs/>
                <w:sz w:val="24"/>
                <w:szCs w:val="24"/>
                <w:vertAlign w:val="subscript"/>
                <w:lang w:val="en-US"/>
              </w:rPr>
              <w:t>(</w:t>
            </w:r>
            <w:proofErr w:type="spellStart"/>
            <w:r w:rsidRPr="00C9149B">
              <w:rPr>
                <w:rFonts w:cs="Arial"/>
                <w:bCs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9149B">
              <w:rPr>
                <w:rFonts w:cs="Arial"/>
                <w:bCs/>
                <w:sz w:val="24"/>
                <w:szCs w:val="24"/>
                <w:vertAlign w:val="subscript"/>
                <w:lang w:val="en-US"/>
              </w:rPr>
              <w:t>)</w:t>
            </w:r>
            <w:r w:rsidRPr="00C9149B">
              <w:rPr>
                <w:rFonts w:cs="Arial"/>
                <w:bCs/>
                <w:sz w:val="24"/>
                <w:szCs w:val="24"/>
                <w:vertAlign w:val="subscript"/>
                <w:lang w:val="en-US"/>
              </w:rPr>
              <w:br/>
            </w:r>
            <w:r w:rsidRPr="00C9149B">
              <w:rPr>
                <w:rFonts w:cs="Arial"/>
                <w:bCs/>
                <w:sz w:val="24"/>
                <w:szCs w:val="24"/>
                <w:lang w:val="en-US"/>
              </w:rPr>
              <w:t>(range)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9DEF8" w14:textId="77777777" w:rsidR="007541EF" w:rsidRPr="00C9149B" w:rsidRDefault="00C20516" w:rsidP="005A48E3">
            <w:pPr>
              <w:spacing w:after="0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C9149B">
              <w:rPr>
                <w:rFonts w:cs="Arial"/>
                <w:bCs/>
                <w:sz w:val="24"/>
                <w:szCs w:val="24"/>
                <w:lang w:val="en-US"/>
              </w:rPr>
              <w:t>Cronbach alpha</w:t>
            </w:r>
          </w:p>
        </w:tc>
      </w:tr>
      <w:tr w:rsidR="007541EF" w:rsidRPr="00C9149B" w14:paraId="1A8BE17B" w14:textId="77777777" w:rsidTr="00C20516">
        <w:trPr>
          <w:trHeight w:val="495"/>
        </w:trPr>
        <w:tc>
          <w:tcPr>
            <w:tcW w:w="1321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0D26A03" w14:textId="77777777" w:rsidR="007541EF" w:rsidRPr="00C9149B" w:rsidRDefault="007541EF" w:rsidP="005A48E3">
            <w:pPr>
              <w:spacing w:after="0"/>
              <w:rPr>
                <w:rFonts w:cs="Arial"/>
                <w:sz w:val="24"/>
                <w:szCs w:val="24"/>
                <w:lang w:val="en-US"/>
              </w:rPr>
            </w:pPr>
            <w:r w:rsidRPr="00C9149B">
              <w:rPr>
                <w:rFonts w:cs="Arial"/>
                <w:sz w:val="24"/>
                <w:szCs w:val="24"/>
                <w:lang w:val="en-US"/>
              </w:rPr>
              <w:t>RIKNO 2.0</w:t>
            </w:r>
          </w:p>
        </w:tc>
        <w:tc>
          <w:tcPr>
            <w:tcW w:w="164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9BB98" w14:textId="77777777" w:rsidR="007541EF" w:rsidRPr="00C9149B" w:rsidRDefault="007541EF" w:rsidP="005A48E3">
            <w:pPr>
              <w:spacing w:after="0"/>
              <w:rPr>
                <w:rFonts w:cs="Arial"/>
                <w:sz w:val="24"/>
                <w:szCs w:val="24"/>
                <w:lang w:val="en-US"/>
              </w:rPr>
            </w:pPr>
            <w:r w:rsidRPr="00C9149B">
              <w:rPr>
                <w:rFonts w:cs="Arial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62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EB381" w14:textId="77777777" w:rsidR="007541EF" w:rsidRPr="00C9149B" w:rsidRDefault="007541EF" w:rsidP="00C20516">
            <w:pPr>
              <w:spacing w:after="0"/>
              <w:rPr>
                <w:rFonts w:eastAsiaTheme="majorEastAsia" w:cs="Arial"/>
                <w:color w:val="1F4D78" w:themeColor="accent1" w:themeShade="7F"/>
                <w:sz w:val="24"/>
                <w:szCs w:val="24"/>
                <w:lang w:val="en-US"/>
              </w:rPr>
            </w:pPr>
            <w:r w:rsidRPr="00C9149B">
              <w:rPr>
                <w:rFonts w:cs="Arial"/>
                <w:sz w:val="24"/>
                <w:szCs w:val="24"/>
                <w:lang w:val="en-US"/>
              </w:rPr>
              <w:t>986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903F3" w14:textId="77777777" w:rsidR="007541EF" w:rsidRPr="00C9149B" w:rsidRDefault="007541EF" w:rsidP="00C20516">
            <w:pPr>
              <w:spacing w:after="0"/>
              <w:rPr>
                <w:rFonts w:cs="Arial"/>
                <w:sz w:val="24"/>
                <w:szCs w:val="24"/>
                <w:lang w:val="en-US"/>
              </w:rPr>
            </w:pPr>
            <w:r w:rsidRPr="00C9149B">
              <w:rPr>
                <w:rFonts w:cs="Arial"/>
                <w:sz w:val="24"/>
                <w:szCs w:val="24"/>
                <w:lang w:val="en-US"/>
              </w:rPr>
              <w:t>0.42 (0.46, 0.11-0.74)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961F0" w14:textId="77777777" w:rsidR="007541EF" w:rsidRPr="00C9149B" w:rsidRDefault="007541EF" w:rsidP="00C20516">
            <w:pPr>
              <w:spacing w:after="0"/>
              <w:rPr>
                <w:rFonts w:cs="Arial"/>
                <w:sz w:val="24"/>
                <w:szCs w:val="24"/>
              </w:rPr>
            </w:pPr>
            <w:r w:rsidRPr="00C9149B">
              <w:rPr>
                <w:rFonts w:cs="Arial"/>
                <w:sz w:val="24"/>
                <w:szCs w:val="24"/>
                <w:lang w:val="en-US"/>
              </w:rPr>
              <w:t xml:space="preserve">0.23 </w:t>
            </w:r>
            <w:r w:rsidRPr="00C9149B">
              <w:rPr>
                <w:rFonts w:cs="Arial"/>
                <w:sz w:val="24"/>
                <w:szCs w:val="24"/>
              </w:rPr>
              <w:t>(0.00-0.38)</w:t>
            </w:r>
          </w:p>
        </w:tc>
        <w:tc>
          <w:tcPr>
            <w:tcW w:w="137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EF3CD" w14:textId="77777777" w:rsidR="007541EF" w:rsidRPr="00C9149B" w:rsidRDefault="007541EF" w:rsidP="00C20516">
            <w:pPr>
              <w:spacing w:after="0"/>
              <w:rPr>
                <w:rFonts w:cs="Arial"/>
                <w:sz w:val="24"/>
                <w:szCs w:val="24"/>
              </w:rPr>
            </w:pPr>
            <w:r w:rsidRPr="00C9149B">
              <w:rPr>
                <w:rFonts w:cs="Arial"/>
                <w:sz w:val="24"/>
                <w:szCs w:val="24"/>
              </w:rPr>
              <w:t>0.66</w:t>
            </w:r>
          </w:p>
        </w:tc>
      </w:tr>
      <w:tr w:rsidR="007541EF" w:rsidRPr="00C9149B" w14:paraId="1D2551BD" w14:textId="77777777" w:rsidTr="00C20516">
        <w:trPr>
          <w:trHeight w:val="367"/>
        </w:trPr>
        <w:tc>
          <w:tcPr>
            <w:tcW w:w="1321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355F5A4" w14:textId="77777777" w:rsidR="007541EF" w:rsidRPr="00C9149B" w:rsidRDefault="007541EF" w:rsidP="005A48E3">
            <w:pPr>
              <w:spacing w:after="0"/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D52C6" w14:textId="77777777" w:rsidR="007541EF" w:rsidRPr="00C9149B" w:rsidRDefault="007541EF" w:rsidP="005A48E3">
            <w:pPr>
              <w:spacing w:after="0"/>
              <w:rPr>
                <w:rFonts w:cs="Arial"/>
                <w:sz w:val="24"/>
                <w:szCs w:val="24"/>
              </w:rPr>
            </w:pPr>
            <w:r w:rsidRPr="00C9149B">
              <w:rPr>
                <w:rFonts w:cs="Arial"/>
                <w:sz w:val="24"/>
                <w:szCs w:val="24"/>
                <w:lang w:val="en-US"/>
              </w:rPr>
              <w:t>Germany</w:t>
            </w: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D2043" w14:textId="77777777" w:rsidR="007541EF" w:rsidRPr="00C9149B" w:rsidRDefault="007541EF" w:rsidP="00C20516">
            <w:pPr>
              <w:spacing w:after="0"/>
              <w:rPr>
                <w:rFonts w:eastAsiaTheme="majorEastAsia" w:cs="Arial"/>
                <w:color w:val="1F4D78" w:themeColor="accent1" w:themeShade="7F"/>
                <w:sz w:val="24"/>
                <w:szCs w:val="24"/>
              </w:rPr>
            </w:pPr>
            <w:r w:rsidRPr="00C9149B">
              <w:rPr>
                <w:rFonts w:cs="Arial"/>
                <w:sz w:val="24"/>
                <w:szCs w:val="24"/>
                <w:lang w:val="en-US"/>
              </w:rPr>
              <w:t>184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B9C3B" w14:textId="77777777" w:rsidR="007541EF" w:rsidRPr="00C9149B" w:rsidRDefault="007541EF" w:rsidP="00C20516">
            <w:pPr>
              <w:spacing w:after="0"/>
              <w:rPr>
                <w:rFonts w:cs="Arial"/>
                <w:sz w:val="24"/>
                <w:szCs w:val="24"/>
              </w:rPr>
            </w:pPr>
            <w:r w:rsidRPr="00C9149B">
              <w:rPr>
                <w:rFonts w:cs="Arial"/>
                <w:sz w:val="24"/>
                <w:szCs w:val="24"/>
              </w:rPr>
              <w:t>0</w:t>
            </w:r>
            <w:r w:rsidR="00A431D4" w:rsidRPr="00C9149B">
              <w:rPr>
                <w:rFonts w:cs="Arial"/>
                <w:sz w:val="24"/>
                <w:szCs w:val="24"/>
              </w:rPr>
              <w:t>.</w:t>
            </w:r>
            <w:r w:rsidRPr="00C9149B">
              <w:rPr>
                <w:rFonts w:cs="Arial"/>
                <w:sz w:val="24"/>
                <w:szCs w:val="24"/>
              </w:rPr>
              <w:t>53 (0</w:t>
            </w:r>
            <w:r w:rsidR="00A431D4" w:rsidRPr="00C9149B">
              <w:rPr>
                <w:rFonts w:cs="Arial"/>
                <w:sz w:val="24"/>
                <w:szCs w:val="24"/>
              </w:rPr>
              <w:t>.</w:t>
            </w:r>
            <w:r w:rsidRPr="00C9149B">
              <w:rPr>
                <w:rFonts w:cs="Arial"/>
                <w:sz w:val="24"/>
                <w:szCs w:val="24"/>
              </w:rPr>
              <w:t>45, 0.12-0.89)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560DE" w14:textId="77777777" w:rsidR="007541EF" w:rsidRPr="00C9149B" w:rsidRDefault="007541EF" w:rsidP="00C20516">
            <w:pPr>
              <w:spacing w:after="0"/>
              <w:rPr>
                <w:rFonts w:cs="Arial"/>
                <w:sz w:val="24"/>
                <w:szCs w:val="24"/>
              </w:rPr>
            </w:pPr>
            <w:r w:rsidRPr="00C9149B">
              <w:rPr>
                <w:rFonts w:cs="Arial"/>
                <w:sz w:val="24"/>
                <w:szCs w:val="24"/>
              </w:rPr>
              <w:t>0.21 (0.01-0.38)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211E4" w14:textId="77777777" w:rsidR="007541EF" w:rsidRPr="00C9149B" w:rsidRDefault="007541EF" w:rsidP="00C20516">
            <w:pPr>
              <w:spacing w:after="0"/>
              <w:rPr>
                <w:rFonts w:cs="Arial"/>
                <w:sz w:val="24"/>
                <w:szCs w:val="24"/>
              </w:rPr>
            </w:pPr>
            <w:r w:rsidRPr="00C9149B">
              <w:rPr>
                <w:rFonts w:cs="Arial"/>
                <w:sz w:val="24"/>
                <w:szCs w:val="24"/>
              </w:rPr>
              <w:t>0.62</w:t>
            </w:r>
          </w:p>
        </w:tc>
      </w:tr>
      <w:tr w:rsidR="007541EF" w:rsidRPr="00C9149B" w14:paraId="6D6730E0" w14:textId="77777777" w:rsidTr="00C20516">
        <w:trPr>
          <w:trHeight w:val="367"/>
        </w:trPr>
        <w:tc>
          <w:tcPr>
            <w:tcW w:w="1321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BBD8784" w14:textId="77777777" w:rsidR="007541EF" w:rsidRPr="00C9149B" w:rsidRDefault="007541EF" w:rsidP="005A48E3">
            <w:pPr>
              <w:spacing w:after="0"/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4B435" w14:textId="77777777" w:rsidR="007541EF" w:rsidRPr="00C9149B" w:rsidRDefault="007541EF" w:rsidP="005A48E3">
            <w:pPr>
              <w:spacing w:after="0"/>
              <w:rPr>
                <w:rFonts w:cs="Arial"/>
                <w:sz w:val="24"/>
                <w:szCs w:val="24"/>
              </w:rPr>
            </w:pPr>
            <w:r w:rsidRPr="00C9149B">
              <w:rPr>
                <w:rFonts w:cs="Arial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24C9D" w14:textId="77777777" w:rsidR="007541EF" w:rsidRPr="00C9149B" w:rsidRDefault="007541EF" w:rsidP="00C20516">
            <w:pPr>
              <w:spacing w:after="0"/>
              <w:rPr>
                <w:rFonts w:eastAsiaTheme="majorEastAsia" w:cs="Arial"/>
                <w:color w:val="1F4D78" w:themeColor="accent1" w:themeShade="7F"/>
                <w:sz w:val="24"/>
                <w:szCs w:val="24"/>
              </w:rPr>
            </w:pPr>
            <w:r w:rsidRPr="00C9149B">
              <w:rPr>
                <w:rFonts w:cs="Arial"/>
                <w:sz w:val="24"/>
                <w:szCs w:val="24"/>
                <w:lang w:val="en-US"/>
              </w:rPr>
              <w:t>84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20A84" w14:textId="77777777" w:rsidR="007541EF" w:rsidRPr="00C9149B" w:rsidRDefault="007541EF" w:rsidP="00C20516">
            <w:pPr>
              <w:spacing w:after="0"/>
              <w:rPr>
                <w:rFonts w:cs="Arial"/>
                <w:sz w:val="24"/>
                <w:szCs w:val="24"/>
              </w:rPr>
            </w:pPr>
            <w:r w:rsidRPr="00C9149B">
              <w:rPr>
                <w:rFonts w:cs="Arial"/>
                <w:sz w:val="24"/>
                <w:szCs w:val="24"/>
              </w:rPr>
              <w:t>0.38 (0.43, 0.04-0.89)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A1782" w14:textId="77777777" w:rsidR="007541EF" w:rsidRPr="00C9149B" w:rsidRDefault="007541EF" w:rsidP="00C20516">
            <w:pPr>
              <w:spacing w:after="0"/>
              <w:rPr>
                <w:rFonts w:cs="Arial"/>
                <w:sz w:val="24"/>
                <w:szCs w:val="24"/>
              </w:rPr>
            </w:pPr>
            <w:r w:rsidRPr="00C9149B">
              <w:rPr>
                <w:rFonts w:cs="Arial"/>
                <w:sz w:val="24"/>
                <w:szCs w:val="24"/>
              </w:rPr>
              <w:t>0.10 (-0.31-0.31)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4C0D9" w14:textId="77777777" w:rsidR="007541EF" w:rsidRPr="00C9149B" w:rsidRDefault="007541EF" w:rsidP="00C20516">
            <w:pPr>
              <w:spacing w:after="0"/>
              <w:rPr>
                <w:rFonts w:cs="Arial"/>
                <w:sz w:val="24"/>
                <w:szCs w:val="24"/>
              </w:rPr>
            </w:pPr>
            <w:r w:rsidRPr="00C9149B">
              <w:rPr>
                <w:rFonts w:cs="Arial"/>
                <w:sz w:val="24"/>
                <w:szCs w:val="24"/>
              </w:rPr>
              <w:t>0.41</w:t>
            </w:r>
          </w:p>
        </w:tc>
      </w:tr>
      <w:tr w:rsidR="007541EF" w:rsidRPr="00C9149B" w14:paraId="139984E8" w14:textId="77777777" w:rsidTr="00C20516">
        <w:trPr>
          <w:trHeight w:val="367"/>
        </w:trPr>
        <w:tc>
          <w:tcPr>
            <w:tcW w:w="1321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ACAFEBB" w14:textId="77777777" w:rsidR="007541EF" w:rsidRPr="00C9149B" w:rsidRDefault="007541EF" w:rsidP="005A48E3">
            <w:pPr>
              <w:spacing w:after="0"/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B216D" w14:textId="77777777" w:rsidR="007541EF" w:rsidRPr="00C9149B" w:rsidRDefault="007541EF" w:rsidP="005A48E3">
            <w:pPr>
              <w:spacing w:after="0"/>
              <w:rPr>
                <w:rFonts w:cs="Arial"/>
                <w:sz w:val="24"/>
                <w:szCs w:val="24"/>
              </w:rPr>
            </w:pPr>
            <w:r w:rsidRPr="00C9149B">
              <w:rPr>
                <w:rFonts w:cs="Arial"/>
                <w:sz w:val="24"/>
                <w:szCs w:val="24"/>
                <w:lang w:val="en-US"/>
              </w:rPr>
              <w:t>Serbia</w:t>
            </w: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E361B" w14:textId="77777777" w:rsidR="007541EF" w:rsidRPr="00C9149B" w:rsidRDefault="007541EF" w:rsidP="00C20516">
            <w:pPr>
              <w:spacing w:after="0"/>
              <w:rPr>
                <w:rFonts w:eastAsiaTheme="majorEastAsia" w:cs="Arial"/>
                <w:color w:val="1F4D78" w:themeColor="accent1" w:themeShade="7F"/>
                <w:sz w:val="24"/>
                <w:szCs w:val="24"/>
              </w:rPr>
            </w:pPr>
            <w:r w:rsidRPr="00C9149B">
              <w:rPr>
                <w:rFonts w:cs="Arial"/>
                <w:sz w:val="24"/>
                <w:szCs w:val="24"/>
                <w:lang w:val="en-US"/>
              </w:rPr>
              <w:t>105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E65AC" w14:textId="77777777" w:rsidR="007541EF" w:rsidRPr="00C9149B" w:rsidRDefault="007541EF" w:rsidP="00C20516">
            <w:pPr>
              <w:spacing w:after="0"/>
              <w:rPr>
                <w:rFonts w:cs="Arial"/>
                <w:sz w:val="24"/>
                <w:szCs w:val="24"/>
              </w:rPr>
            </w:pPr>
            <w:r w:rsidRPr="00C9149B">
              <w:rPr>
                <w:rFonts w:cs="Arial"/>
                <w:sz w:val="24"/>
                <w:szCs w:val="24"/>
              </w:rPr>
              <w:t>0.56 (0.43, 0.04-0.96)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F7CB6" w14:textId="77777777" w:rsidR="007541EF" w:rsidRPr="00C9149B" w:rsidRDefault="007541EF" w:rsidP="00C20516">
            <w:pPr>
              <w:spacing w:after="0"/>
              <w:rPr>
                <w:rFonts w:cs="Arial"/>
                <w:sz w:val="24"/>
                <w:szCs w:val="24"/>
              </w:rPr>
            </w:pPr>
            <w:r w:rsidRPr="00C9149B">
              <w:rPr>
                <w:rFonts w:cs="Arial"/>
                <w:sz w:val="24"/>
                <w:szCs w:val="24"/>
              </w:rPr>
              <w:t>0.27 (-0.35-0.49)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01B05" w14:textId="77777777" w:rsidR="007541EF" w:rsidRPr="00C9149B" w:rsidRDefault="007541EF" w:rsidP="00C20516">
            <w:pPr>
              <w:spacing w:after="0"/>
              <w:rPr>
                <w:rFonts w:cs="Arial"/>
                <w:sz w:val="24"/>
                <w:szCs w:val="24"/>
              </w:rPr>
            </w:pPr>
            <w:r w:rsidRPr="00C9149B">
              <w:rPr>
                <w:rFonts w:cs="Arial"/>
                <w:sz w:val="24"/>
                <w:szCs w:val="24"/>
              </w:rPr>
              <w:t>0.72</w:t>
            </w:r>
          </w:p>
        </w:tc>
      </w:tr>
      <w:tr w:rsidR="007541EF" w:rsidRPr="00C9149B" w14:paraId="12E74333" w14:textId="77777777" w:rsidTr="00C20516">
        <w:trPr>
          <w:trHeight w:val="367"/>
        </w:trPr>
        <w:tc>
          <w:tcPr>
            <w:tcW w:w="1321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38C75F4" w14:textId="77777777" w:rsidR="007541EF" w:rsidRPr="00C9149B" w:rsidRDefault="007541EF" w:rsidP="005A48E3">
            <w:pPr>
              <w:spacing w:after="0"/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5B18F" w14:textId="77777777" w:rsidR="007541EF" w:rsidRPr="00C9149B" w:rsidRDefault="007541EF" w:rsidP="005A48E3">
            <w:pPr>
              <w:spacing w:after="0"/>
              <w:rPr>
                <w:rFonts w:cs="Arial"/>
                <w:sz w:val="24"/>
                <w:szCs w:val="24"/>
              </w:rPr>
            </w:pPr>
            <w:r w:rsidRPr="00C9149B">
              <w:rPr>
                <w:rFonts w:cs="Arial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9A354" w14:textId="77777777" w:rsidR="007541EF" w:rsidRPr="00C9149B" w:rsidRDefault="007541EF" w:rsidP="00C20516">
            <w:pPr>
              <w:spacing w:after="0"/>
              <w:rPr>
                <w:rFonts w:eastAsiaTheme="majorEastAsia" w:cs="Arial"/>
                <w:color w:val="1F4D78" w:themeColor="accent1" w:themeShade="7F"/>
                <w:sz w:val="24"/>
                <w:szCs w:val="24"/>
              </w:rPr>
            </w:pPr>
            <w:r w:rsidRPr="00C9149B">
              <w:rPr>
                <w:rFonts w:cs="Arial"/>
                <w:sz w:val="24"/>
                <w:szCs w:val="24"/>
                <w:lang w:val="en-US"/>
              </w:rPr>
              <w:t>279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B81F7" w14:textId="77777777" w:rsidR="007541EF" w:rsidRPr="00C9149B" w:rsidRDefault="007541EF" w:rsidP="00C20516">
            <w:pPr>
              <w:spacing w:after="0"/>
              <w:rPr>
                <w:rFonts w:cs="Arial"/>
                <w:sz w:val="24"/>
                <w:szCs w:val="24"/>
              </w:rPr>
            </w:pPr>
            <w:r w:rsidRPr="00C9149B">
              <w:rPr>
                <w:rFonts w:cs="Arial"/>
                <w:sz w:val="24"/>
                <w:szCs w:val="24"/>
              </w:rPr>
              <w:t>0.36 (0.44, 0.08-0.81)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5C044" w14:textId="77777777" w:rsidR="007541EF" w:rsidRPr="00C9149B" w:rsidRDefault="007541EF" w:rsidP="00C20516">
            <w:pPr>
              <w:spacing w:after="0"/>
              <w:rPr>
                <w:rFonts w:cs="Arial"/>
                <w:sz w:val="24"/>
                <w:szCs w:val="24"/>
              </w:rPr>
            </w:pPr>
            <w:r w:rsidRPr="00C9149B">
              <w:rPr>
                <w:rFonts w:cs="Arial"/>
                <w:sz w:val="24"/>
                <w:szCs w:val="24"/>
              </w:rPr>
              <w:t>0.18 (-0.07-0.33)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DBAE2" w14:textId="77777777" w:rsidR="007541EF" w:rsidRPr="00C9149B" w:rsidRDefault="007541EF" w:rsidP="00C20516">
            <w:pPr>
              <w:spacing w:after="0"/>
              <w:rPr>
                <w:rFonts w:cs="Arial"/>
                <w:sz w:val="24"/>
                <w:szCs w:val="24"/>
              </w:rPr>
            </w:pPr>
            <w:r w:rsidRPr="00C9149B">
              <w:rPr>
                <w:rFonts w:cs="Arial"/>
                <w:sz w:val="24"/>
                <w:szCs w:val="24"/>
              </w:rPr>
              <w:t>0.57</w:t>
            </w:r>
          </w:p>
        </w:tc>
      </w:tr>
      <w:tr w:rsidR="007541EF" w:rsidRPr="00C9149B" w14:paraId="62FE3BFC" w14:textId="77777777" w:rsidTr="00C20516">
        <w:trPr>
          <w:trHeight w:val="367"/>
        </w:trPr>
        <w:tc>
          <w:tcPr>
            <w:tcW w:w="1321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D09BFDD" w14:textId="77777777" w:rsidR="007541EF" w:rsidRPr="00C9149B" w:rsidRDefault="007541EF" w:rsidP="005A48E3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24DF1" w14:textId="77777777" w:rsidR="007541EF" w:rsidRPr="00C9149B" w:rsidRDefault="007541EF" w:rsidP="005A48E3">
            <w:pPr>
              <w:spacing w:after="0"/>
              <w:rPr>
                <w:rFonts w:cs="Arial"/>
                <w:sz w:val="24"/>
                <w:szCs w:val="24"/>
              </w:rPr>
            </w:pPr>
            <w:proofErr w:type="spellStart"/>
            <w:r w:rsidRPr="00C9149B">
              <w:rPr>
                <w:rFonts w:cs="Arial"/>
                <w:sz w:val="24"/>
                <w:szCs w:val="24"/>
              </w:rPr>
              <w:t>Netherlands</w:t>
            </w:r>
            <w:proofErr w:type="spellEnd"/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4C30E" w14:textId="77777777" w:rsidR="007541EF" w:rsidRPr="00C9149B" w:rsidRDefault="007541EF" w:rsidP="00C20516">
            <w:pPr>
              <w:spacing w:after="0"/>
              <w:rPr>
                <w:rFonts w:eastAsiaTheme="majorEastAsia" w:cs="Arial"/>
                <w:color w:val="1F4D78" w:themeColor="accent1" w:themeShade="7F"/>
                <w:sz w:val="24"/>
                <w:szCs w:val="24"/>
              </w:rPr>
            </w:pPr>
            <w:r w:rsidRPr="00C9149B">
              <w:rPr>
                <w:rFonts w:cs="Arial"/>
                <w:sz w:val="24"/>
                <w:szCs w:val="24"/>
              </w:rPr>
              <w:t>133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BEC3F" w14:textId="77777777" w:rsidR="007541EF" w:rsidRPr="00C9149B" w:rsidRDefault="007541EF" w:rsidP="00C20516">
            <w:pPr>
              <w:spacing w:after="0"/>
              <w:rPr>
                <w:rFonts w:cs="Arial"/>
                <w:sz w:val="24"/>
                <w:szCs w:val="24"/>
              </w:rPr>
            </w:pPr>
            <w:r w:rsidRPr="00C9149B">
              <w:rPr>
                <w:rFonts w:cs="Arial"/>
                <w:sz w:val="24"/>
                <w:szCs w:val="24"/>
              </w:rPr>
              <w:t>0.44 (0.44, 0.05-0.83)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2DF9D" w14:textId="77777777" w:rsidR="007541EF" w:rsidRPr="00C9149B" w:rsidRDefault="007541EF" w:rsidP="00C20516">
            <w:pPr>
              <w:spacing w:after="0"/>
              <w:rPr>
                <w:rFonts w:cs="Arial"/>
                <w:sz w:val="24"/>
                <w:szCs w:val="24"/>
              </w:rPr>
            </w:pPr>
            <w:r w:rsidRPr="00C9149B">
              <w:rPr>
                <w:rFonts w:cs="Arial"/>
                <w:sz w:val="24"/>
                <w:szCs w:val="24"/>
              </w:rPr>
              <w:t>0.09 (-0.15-0.27)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962C1" w14:textId="77777777" w:rsidR="007541EF" w:rsidRPr="00C9149B" w:rsidRDefault="007541EF" w:rsidP="00C20516">
            <w:pPr>
              <w:spacing w:after="0"/>
              <w:rPr>
                <w:rFonts w:cs="Arial"/>
                <w:sz w:val="24"/>
                <w:szCs w:val="24"/>
              </w:rPr>
            </w:pPr>
            <w:r w:rsidRPr="00C9149B">
              <w:rPr>
                <w:rFonts w:cs="Arial"/>
                <w:sz w:val="24"/>
                <w:szCs w:val="24"/>
              </w:rPr>
              <w:t>0.36</w:t>
            </w:r>
          </w:p>
        </w:tc>
      </w:tr>
      <w:tr w:rsidR="007541EF" w:rsidRPr="00C9149B" w14:paraId="49061D55" w14:textId="77777777" w:rsidTr="00C20516">
        <w:trPr>
          <w:trHeight w:val="367"/>
        </w:trPr>
        <w:tc>
          <w:tcPr>
            <w:tcW w:w="1321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502363" w14:textId="77777777" w:rsidR="007541EF" w:rsidRPr="00C9149B" w:rsidRDefault="007541EF" w:rsidP="005A48E3">
            <w:pPr>
              <w:spacing w:after="0"/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A7BEE" w14:textId="77777777" w:rsidR="007541EF" w:rsidRPr="00C9149B" w:rsidRDefault="007541EF" w:rsidP="005A48E3">
            <w:pPr>
              <w:spacing w:after="0"/>
              <w:rPr>
                <w:rFonts w:cs="Arial"/>
                <w:sz w:val="24"/>
                <w:szCs w:val="24"/>
              </w:rPr>
            </w:pPr>
            <w:r w:rsidRPr="00C9149B">
              <w:rPr>
                <w:rFonts w:cs="Arial"/>
                <w:sz w:val="24"/>
                <w:szCs w:val="24"/>
                <w:lang w:val="en-US"/>
              </w:rPr>
              <w:t>Turkey</w:t>
            </w: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15A09" w14:textId="77777777" w:rsidR="007541EF" w:rsidRPr="00C9149B" w:rsidRDefault="007541EF" w:rsidP="00C20516">
            <w:pPr>
              <w:spacing w:after="0"/>
              <w:rPr>
                <w:rFonts w:eastAsiaTheme="majorEastAsia" w:cs="Arial"/>
                <w:color w:val="1F4D78" w:themeColor="accent1" w:themeShade="7F"/>
                <w:sz w:val="24"/>
                <w:szCs w:val="24"/>
              </w:rPr>
            </w:pPr>
            <w:r w:rsidRPr="00C9149B">
              <w:rPr>
                <w:rFonts w:cs="Arial"/>
                <w:sz w:val="24"/>
                <w:szCs w:val="24"/>
              </w:rPr>
              <w:t>201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7FFC9" w14:textId="77777777" w:rsidR="007541EF" w:rsidRPr="00C9149B" w:rsidRDefault="007541EF" w:rsidP="00C20516">
            <w:pPr>
              <w:spacing w:after="0"/>
              <w:rPr>
                <w:rFonts w:cs="Arial"/>
                <w:sz w:val="24"/>
                <w:szCs w:val="24"/>
              </w:rPr>
            </w:pPr>
            <w:r w:rsidRPr="00C9149B">
              <w:rPr>
                <w:rFonts w:cs="Arial"/>
                <w:sz w:val="24"/>
                <w:szCs w:val="24"/>
              </w:rPr>
              <w:t>0.32 (0.42, 0.03-0.68)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C86CE" w14:textId="77777777" w:rsidR="007541EF" w:rsidRPr="00C9149B" w:rsidRDefault="007541EF" w:rsidP="00C20516">
            <w:pPr>
              <w:spacing w:after="0"/>
              <w:rPr>
                <w:rFonts w:cs="Arial"/>
                <w:sz w:val="24"/>
                <w:szCs w:val="24"/>
              </w:rPr>
            </w:pPr>
            <w:r w:rsidRPr="00C9149B">
              <w:rPr>
                <w:rFonts w:cs="Arial"/>
                <w:sz w:val="24"/>
                <w:szCs w:val="24"/>
              </w:rPr>
              <w:t>0.11 (-0.18-0.38)</w:t>
            </w:r>
          </w:p>
        </w:tc>
        <w:tc>
          <w:tcPr>
            <w:tcW w:w="137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C5CF0" w14:textId="77777777" w:rsidR="007541EF" w:rsidRPr="00C9149B" w:rsidRDefault="007541EF" w:rsidP="00C20516">
            <w:pPr>
              <w:spacing w:after="0"/>
              <w:rPr>
                <w:rFonts w:cs="Arial"/>
                <w:sz w:val="24"/>
                <w:szCs w:val="24"/>
              </w:rPr>
            </w:pPr>
            <w:r w:rsidRPr="00C9149B">
              <w:rPr>
                <w:rFonts w:cs="Arial"/>
                <w:sz w:val="24"/>
                <w:szCs w:val="24"/>
              </w:rPr>
              <w:t>0.46</w:t>
            </w:r>
          </w:p>
        </w:tc>
      </w:tr>
      <w:tr w:rsidR="007541EF" w:rsidRPr="00C9149B" w14:paraId="5FE19D81" w14:textId="77777777" w:rsidTr="00C20516">
        <w:trPr>
          <w:trHeight w:val="367"/>
        </w:trPr>
        <w:tc>
          <w:tcPr>
            <w:tcW w:w="132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AA01DEC" w14:textId="77777777" w:rsidR="007541EF" w:rsidRPr="00C9149B" w:rsidRDefault="007541EF" w:rsidP="005A48E3">
            <w:pPr>
              <w:spacing w:after="0"/>
              <w:rPr>
                <w:rFonts w:cs="Arial"/>
                <w:sz w:val="24"/>
                <w:szCs w:val="24"/>
                <w:lang w:val="en-US"/>
              </w:rPr>
            </w:pPr>
            <w:r w:rsidRPr="00C9149B">
              <w:rPr>
                <w:rFonts w:cs="Arial"/>
                <w:sz w:val="24"/>
                <w:szCs w:val="24"/>
                <w:lang w:val="en-US"/>
              </w:rPr>
              <w:t>MSKQ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A8AA9F" w14:textId="77777777" w:rsidR="007541EF" w:rsidRPr="00C9149B" w:rsidRDefault="007541EF" w:rsidP="005A48E3">
            <w:pPr>
              <w:spacing w:after="0"/>
              <w:rPr>
                <w:rFonts w:cs="Arial"/>
                <w:sz w:val="24"/>
                <w:szCs w:val="24"/>
              </w:rPr>
            </w:pPr>
            <w:r w:rsidRPr="00C9149B">
              <w:rPr>
                <w:rFonts w:cs="Arial"/>
                <w:sz w:val="24"/>
                <w:szCs w:val="24"/>
              </w:rPr>
              <w:t>Total</w:t>
            </w: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A65EF7" w14:textId="77777777" w:rsidR="007541EF" w:rsidRPr="00C9149B" w:rsidRDefault="007541EF" w:rsidP="00C20516">
            <w:pPr>
              <w:spacing w:after="0"/>
              <w:rPr>
                <w:rFonts w:eastAsiaTheme="majorEastAsia" w:cs="Arial"/>
                <w:color w:val="1F4D78" w:themeColor="accent1" w:themeShade="7F"/>
                <w:sz w:val="24"/>
                <w:szCs w:val="24"/>
              </w:rPr>
            </w:pPr>
            <w:r w:rsidRPr="00C9149B">
              <w:rPr>
                <w:rFonts w:cs="Arial"/>
                <w:sz w:val="24"/>
                <w:szCs w:val="24"/>
              </w:rPr>
              <w:t>294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961555" w14:textId="77777777" w:rsidR="007541EF" w:rsidRPr="00C9149B" w:rsidRDefault="007541EF" w:rsidP="00C20516">
            <w:pPr>
              <w:spacing w:after="0"/>
              <w:rPr>
                <w:rFonts w:cs="Arial"/>
                <w:sz w:val="24"/>
                <w:szCs w:val="24"/>
              </w:rPr>
            </w:pPr>
            <w:r w:rsidRPr="00C9149B">
              <w:rPr>
                <w:rFonts w:cs="Arial"/>
                <w:sz w:val="24"/>
                <w:szCs w:val="24"/>
              </w:rPr>
              <w:t>0.78 (0.34, 0.27-100)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BD0B10" w14:textId="77777777" w:rsidR="007541EF" w:rsidRPr="00C9149B" w:rsidRDefault="007541EF" w:rsidP="00C20516">
            <w:pPr>
              <w:spacing w:after="0"/>
              <w:rPr>
                <w:rFonts w:cs="Arial"/>
                <w:sz w:val="24"/>
                <w:szCs w:val="24"/>
              </w:rPr>
            </w:pPr>
            <w:r w:rsidRPr="00C9149B">
              <w:rPr>
                <w:rFonts w:cs="Arial"/>
                <w:sz w:val="24"/>
                <w:szCs w:val="24"/>
              </w:rPr>
              <w:t>0.21 (0.01-0.30)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5E2C98" w14:textId="77777777" w:rsidR="007541EF" w:rsidRPr="00C9149B" w:rsidRDefault="007541EF" w:rsidP="00C20516">
            <w:pPr>
              <w:spacing w:after="0"/>
              <w:rPr>
                <w:rFonts w:cs="Arial"/>
                <w:sz w:val="24"/>
                <w:szCs w:val="24"/>
              </w:rPr>
            </w:pPr>
            <w:r w:rsidRPr="00C9149B">
              <w:rPr>
                <w:rFonts w:cs="Arial"/>
                <w:sz w:val="24"/>
                <w:szCs w:val="24"/>
              </w:rPr>
              <w:t>0.63</w:t>
            </w:r>
          </w:p>
        </w:tc>
      </w:tr>
      <w:tr w:rsidR="007541EF" w:rsidRPr="00C9149B" w14:paraId="0E68958C" w14:textId="77777777" w:rsidTr="00C20516">
        <w:trPr>
          <w:trHeight w:val="367"/>
        </w:trPr>
        <w:tc>
          <w:tcPr>
            <w:tcW w:w="1321" w:type="dxa"/>
            <w:vMerge/>
            <w:shd w:val="clear" w:color="auto" w:fill="FFFFFF" w:themeFill="background1"/>
            <w:vAlign w:val="center"/>
          </w:tcPr>
          <w:p w14:paraId="6D645958" w14:textId="77777777" w:rsidR="007541EF" w:rsidRPr="00C9149B" w:rsidRDefault="007541EF" w:rsidP="005A48E3">
            <w:pPr>
              <w:spacing w:after="0"/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C46BFF" w14:textId="77777777" w:rsidR="007541EF" w:rsidRPr="00C9149B" w:rsidRDefault="007541EF" w:rsidP="005A48E3">
            <w:pPr>
              <w:spacing w:after="0"/>
              <w:rPr>
                <w:rFonts w:cs="Arial"/>
                <w:sz w:val="24"/>
                <w:szCs w:val="24"/>
              </w:rPr>
            </w:pPr>
            <w:r w:rsidRPr="00C9149B">
              <w:rPr>
                <w:rFonts w:cs="Arial"/>
                <w:sz w:val="24"/>
                <w:szCs w:val="24"/>
                <w:lang w:val="en-US"/>
              </w:rPr>
              <w:t>Germany</w:t>
            </w:r>
          </w:p>
        </w:tc>
        <w:tc>
          <w:tcPr>
            <w:tcW w:w="62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6FE630" w14:textId="77777777" w:rsidR="007541EF" w:rsidRPr="00C9149B" w:rsidRDefault="007541EF" w:rsidP="00C20516">
            <w:pPr>
              <w:spacing w:after="0"/>
              <w:rPr>
                <w:rFonts w:eastAsiaTheme="majorEastAsia" w:cs="Arial"/>
                <w:color w:val="1F4D78" w:themeColor="accent1" w:themeShade="7F"/>
                <w:sz w:val="24"/>
                <w:szCs w:val="24"/>
              </w:rPr>
            </w:pPr>
            <w:r w:rsidRPr="00C9149B">
              <w:rPr>
                <w:rFonts w:cs="Arial"/>
                <w:sz w:val="24"/>
                <w:szCs w:val="24"/>
              </w:rPr>
              <w:t>114</w:t>
            </w:r>
          </w:p>
        </w:tc>
        <w:tc>
          <w:tcPr>
            <w:tcW w:w="255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DE7D07" w14:textId="77777777" w:rsidR="007541EF" w:rsidRPr="00C9149B" w:rsidRDefault="007541EF" w:rsidP="00C2051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9149B">
              <w:rPr>
                <w:rFonts w:cs="Arial"/>
                <w:sz w:val="24"/>
                <w:szCs w:val="24"/>
              </w:rPr>
              <w:t>0.80 (0.33, 0.33-100)</w:t>
            </w:r>
          </w:p>
        </w:tc>
        <w:tc>
          <w:tcPr>
            <w:tcW w:w="198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6F5B3A" w14:textId="77777777" w:rsidR="007541EF" w:rsidRPr="00C9149B" w:rsidRDefault="007541EF" w:rsidP="00C2051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9149B">
              <w:rPr>
                <w:rFonts w:cs="Arial"/>
                <w:sz w:val="24"/>
                <w:szCs w:val="24"/>
              </w:rPr>
              <w:t>0.18 (0.00-0.35)</w:t>
            </w:r>
          </w:p>
        </w:tc>
        <w:tc>
          <w:tcPr>
            <w:tcW w:w="137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0B5FD7" w14:textId="77777777" w:rsidR="007541EF" w:rsidRPr="00C9149B" w:rsidRDefault="007541EF" w:rsidP="00C2051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9149B">
              <w:rPr>
                <w:rFonts w:cs="Arial"/>
                <w:sz w:val="24"/>
                <w:szCs w:val="24"/>
              </w:rPr>
              <w:t>0.58</w:t>
            </w:r>
          </w:p>
        </w:tc>
      </w:tr>
      <w:tr w:rsidR="007541EF" w:rsidRPr="00C9149B" w14:paraId="71623224" w14:textId="77777777" w:rsidTr="00C20516">
        <w:trPr>
          <w:trHeight w:val="367"/>
        </w:trPr>
        <w:tc>
          <w:tcPr>
            <w:tcW w:w="1321" w:type="dxa"/>
            <w:vMerge/>
            <w:shd w:val="clear" w:color="auto" w:fill="FFFFFF" w:themeFill="background1"/>
            <w:vAlign w:val="center"/>
          </w:tcPr>
          <w:p w14:paraId="5D3DE404" w14:textId="77777777" w:rsidR="007541EF" w:rsidRPr="00C9149B" w:rsidRDefault="007541EF" w:rsidP="005A48E3">
            <w:pPr>
              <w:spacing w:after="0"/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614439" w14:textId="77777777" w:rsidR="007541EF" w:rsidRPr="00C9149B" w:rsidRDefault="007541EF" w:rsidP="005A48E3">
            <w:pPr>
              <w:spacing w:after="0"/>
              <w:rPr>
                <w:rFonts w:cs="Arial"/>
                <w:sz w:val="24"/>
                <w:szCs w:val="24"/>
              </w:rPr>
            </w:pPr>
            <w:r w:rsidRPr="00C9149B">
              <w:rPr>
                <w:rFonts w:cs="Arial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62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82FF38" w14:textId="77777777" w:rsidR="007541EF" w:rsidRPr="00C9149B" w:rsidRDefault="007541EF" w:rsidP="00C20516">
            <w:pPr>
              <w:spacing w:after="0"/>
              <w:rPr>
                <w:rFonts w:eastAsiaTheme="majorEastAsia" w:cs="Arial"/>
                <w:color w:val="1F4D78" w:themeColor="accent1" w:themeShade="7F"/>
                <w:sz w:val="24"/>
                <w:szCs w:val="24"/>
              </w:rPr>
            </w:pPr>
            <w:r w:rsidRPr="00C9149B">
              <w:rPr>
                <w:rFonts w:cs="Arial"/>
                <w:sz w:val="24"/>
                <w:szCs w:val="24"/>
              </w:rPr>
              <w:t>52</w:t>
            </w:r>
          </w:p>
        </w:tc>
        <w:tc>
          <w:tcPr>
            <w:tcW w:w="255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85F03E" w14:textId="77777777" w:rsidR="007541EF" w:rsidRPr="00C9149B" w:rsidRDefault="007541EF" w:rsidP="00C2051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9149B">
              <w:rPr>
                <w:rFonts w:cs="Arial"/>
                <w:sz w:val="24"/>
                <w:szCs w:val="24"/>
              </w:rPr>
              <w:t>0.68 (0.33,0.29-100)</w:t>
            </w:r>
          </w:p>
        </w:tc>
        <w:tc>
          <w:tcPr>
            <w:tcW w:w="198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5E5FC0" w14:textId="77777777" w:rsidR="007541EF" w:rsidRPr="00C9149B" w:rsidRDefault="007541EF" w:rsidP="00C2051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9149B">
              <w:rPr>
                <w:rFonts w:cs="Arial"/>
                <w:sz w:val="24"/>
                <w:szCs w:val="24"/>
              </w:rPr>
              <w:t>0.18 (-0.13-0.46)</w:t>
            </w:r>
          </w:p>
        </w:tc>
        <w:tc>
          <w:tcPr>
            <w:tcW w:w="137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8C31DF" w14:textId="77777777" w:rsidR="007541EF" w:rsidRPr="00C9149B" w:rsidRDefault="007541EF" w:rsidP="00C2051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9149B">
              <w:rPr>
                <w:rFonts w:cs="Arial"/>
                <w:sz w:val="24"/>
                <w:szCs w:val="24"/>
              </w:rPr>
              <w:t>0.56</w:t>
            </w:r>
          </w:p>
        </w:tc>
      </w:tr>
      <w:tr w:rsidR="007541EF" w:rsidRPr="00C9149B" w14:paraId="69484F0D" w14:textId="77777777" w:rsidTr="00C20516">
        <w:trPr>
          <w:trHeight w:val="367"/>
        </w:trPr>
        <w:tc>
          <w:tcPr>
            <w:tcW w:w="1321" w:type="dxa"/>
            <w:vMerge/>
            <w:shd w:val="clear" w:color="auto" w:fill="FFFFFF" w:themeFill="background1"/>
            <w:vAlign w:val="center"/>
          </w:tcPr>
          <w:p w14:paraId="5F2A9220" w14:textId="77777777" w:rsidR="007541EF" w:rsidRPr="00C9149B" w:rsidRDefault="007541EF" w:rsidP="005A48E3">
            <w:pPr>
              <w:spacing w:after="0"/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34C9FC" w14:textId="77777777" w:rsidR="007541EF" w:rsidRPr="00C9149B" w:rsidRDefault="007541EF" w:rsidP="005A48E3">
            <w:pPr>
              <w:spacing w:after="0"/>
              <w:rPr>
                <w:rFonts w:cs="Arial"/>
                <w:sz w:val="24"/>
                <w:szCs w:val="24"/>
              </w:rPr>
            </w:pPr>
            <w:proofErr w:type="spellStart"/>
            <w:r w:rsidRPr="00C9149B">
              <w:rPr>
                <w:rFonts w:cs="Arial"/>
                <w:sz w:val="24"/>
                <w:szCs w:val="24"/>
              </w:rPr>
              <w:t>Netherlands</w:t>
            </w:r>
            <w:proofErr w:type="spellEnd"/>
          </w:p>
        </w:tc>
        <w:tc>
          <w:tcPr>
            <w:tcW w:w="62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35CC1F" w14:textId="77777777" w:rsidR="007541EF" w:rsidRPr="00C9149B" w:rsidRDefault="007541EF" w:rsidP="00C20516">
            <w:pPr>
              <w:spacing w:after="0"/>
              <w:rPr>
                <w:rFonts w:eastAsiaTheme="majorEastAsia" w:cs="Arial"/>
                <w:color w:val="1F4D78" w:themeColor="accent1" w:themeShade="7F"/>
                <w:sz w:val="24"/>
                <w:szCs w:val="24"/>
              </w:rPr>
            </w:pPr>
            <w:r w:rsidRPr="00C9149B">
              <w:rPr>
                <w:rFonts w:cs="Arial"/>
                <w:sz w:val="24"/>
                <w:szCs w:val="24"/>
              </w:rPr>
              <w:t>128</w:t>
            </w:r>
          </w:p>
        </w:tc>
        <w:tc>
          <w:tcPr>
            <w:tcW w:w="255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E4999A" w14:textId="77777777" w:rsidR="007541EF" w:rsidRPr="00C9149B" w:rsidRDefault="007541EF" w:rsidP="00C2051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9149B">
              <w:rPr>
                <w:rFonts w:cs="Arial"/>
                <w:sz w:val="24"/>
                <w:szCs w:val="24"/>
              </w:rPr>
              <w:t>0.77 (0.34, 0.19-100)</w:t>
            </w:r>
          </w:p>
        </w:tc>
        <w:tc>
          <w:tcPr>
            <w:tcW w:w="198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E588B4" w14:textId="77777777" w:rsidR="007541EF" w:rsidRPr="00C9149B" w:rsidRDefault="007541EF" w:rsidP="00C2051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9149B">
              <w:rPr>
                <w:rFonts w:cs="Arial"/>
                <w:sz w:val="24"/>
                <w:szCs w:val="24"/>
              </w:rPr>
              <w:t>0.25 (-0.03-0.43)</w:t>
            </w:r>
          </w:p>
        </w:tc>
        <w:tc>
          <w:tcPr>
            <w:tcW w:w="137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BA407A" w14:textId="77777777" w:rsidR="007541EF" w:rsidRPr="00C9149B" w:rsidRDefault="007541EF" w:rsidP="00C2051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9149B">
              <w:rPr>
                <w:rFonts w:cs="Arial"/>
                <w:sz w:val="24"/>
                <w:szCs w:val="24"/>
              </w:rPr>
              <w:t>0.69</w:t>
            </w:r>
          </w:p>
        </w:tc>
      </w:tr>
    </w:tbl>
    <w:p w14:paraId="160D918C" w14:textId="77777777" w:rsidR="005A48E3" w:rsidRPr="00C9149B" w:rsidRDefault="00506484" w:rsidP="007541EF">
      <w:pPr>
        <w:spacing w:after="0" w:line="240" w:lineRule="auto"/>
        <w:rPr>
          <w:rStyle w:val="Enfasicorsivo"/>
          <w:rFonts w:cs="Arial"/>
          <w:bCs/>
          <w:i w:val="0"/>
          <w:sz w:val="24"/>
          <w:szCs w:val="24"/>
          <w:lang w:val="en-US"/>
        </w:rPr>
      </w:pPr>
      <w:r w:rsidRPr="00C9149B">
        <w:rPr>
          <w:rStyle w:val="Enfasicorsivo"/>
          <w:rFonts w:cs="Arial"/>
          <w:bCs/>
          <w:i w:val="0"/>
          <w:sz w:val="24"/>
          <w:szCs w:val="24"/>
          <w:lang w:val="en-US"/>
        </w:rPr>
        <w:t>MSKQ, Multiple Sclerosis Knowledge Questionnaire; RIKNO, Risk knowledge in multiple sclerosis; SD, standard deviation.</w:t>
      </w:r>
    </w:p>
    <w:p w14:paraId="219569F3" w14:textId="77777777" w:rsidR="00506484" w:rsidRPr="00C9149B" w:rsidRDefault="00506484" w:rsidP="007541EF">
      <w:pPr>
        <w:spacing w:after="0" w:line="240" w:lineRule="auto"/>
        <w:rPr>
          <w:rStyle w:val="Enfasicorsivo"/>
          <w:rFonts w:cs="Arial"/>
          <w:bCs/>
          <w:i w:val="0"/>
          <w:sz w:val="24"/>
          <w:szCs w:val="24"/>
          <w:lang w:val="en-US"/>
        </w:rPr>
      </w:pPr>
    </w:p>
    <w:p w14:paraId="7C0E4AB1" w14:textId="0A66FF46" w:rsidR="007541EF" w:rsidRPr="00C9149B" w:rsidRDefault="007541EF" w:rsidP="00437516">
      <w:pPr>
        <w:spacing w:after="0" w:line="240" w:lineRule="auto"/>
        <w:jc w:val="both"/>
        <w:rPr>
          <w:rStyle w:val="Enfasicorsivo"/>
          <w:rFonts w:cs="Arial"/>
          <w:bCs/>
          <w:i w:val="0"/>
          <w:sz w:val="24"/>
          <w:szCs w:val="24"/>
          <w:lang w:val="en-US"/>
        </w:rPr>
      </w:pPr>
      <w:r w:rsidRPr="00C9149B">
        <w:rPr>
          <w:rStyle w:val="Enfasicorsivo"/>
          <w:rFonts w:cs="Arial"/>
          <w:bCs/>
          <w:i w:val="0"/>
          <w:sz w:val="24"/>
          <w:szCs w:val="24"/>
          <w:lang w:val="en-US"/>
        </w:rPr>
        <w:t>Item characteristics of RIKNO</w:t>
      </w:r>
      <w:r w:rsidR="005A48E3" w:rsidRPr="00C9149B">
        <w:rPr>
          <w:rStyle w:val="Enfasicorsivo"/>
          <w:rFonts w:cs="Arial"/>
          <w:bCs/>
          <w:i w:val="0"/>
          <w:sz w:val="24"/>
          <w:szCs w:val="24"/>
          <w:lang w:val="en-US"/>
        </w:rPr>
        <w:t xml:space="preserve"> 2.0</w:t>
      </w:r>
      <w:r w:rsidRPr="00C9149B">
        <w:rPr>
          <w:rStyle w:val="Enfasicorsivo"/>
          <w:rFonts w:cs="Arial"/>
          <w:bCs/>
          <w:i w:val="0"/>
          <w:sz w:val="24"/>
          <w:szCs w:val="24"/>
          <w:lang w:val="en-US"/>
        </w:rPr>
        <w:t xml:space="preserve"> and MSKQ were calculated, including item difficulty (norms: </w:t>
      </w:r>
      <w:r w:rsidR="00A431D4" w:rsidRPr="00C9149B">
        <w:rPr>
          <w:rStyle w:val="Enfasicorsivo"/>
          <w:rFonts w:cs="Arial"/>
          <w:bCs/>
          <w:i w:val="0"/>
          <w:sz w:val="24"/>
          <w:szCs w:val="24"/>
          <w:lang w:val="en-US"/>
        </w:rPr>
        <w:t>0</w:t>
      </w:r>
      <w:r w:rsidRPr="00C9149B">
        <w:rPr>
          <w:rStyle w:val="Enfasicorsivo"/>
          <w:rFonts w:cs="Arial"/>
          <w:bCs/>
          <w:i w:val="0"/>
          <w:sz w:val="24"/>
          <w:szCs w:val="24"/>
          <w:lang w:val="en-US"/>
        </w:rPr>
        <w:t>.2-</w:t>
      </w:r>
      <w:r w:rsidR="00A431D4" w:rsidRPr="00C9149B">
        <w:rPr>
          <w:rStyle w:val="Enfasicorsivo"/>
          <w:rFonts w:cs="Arial"/>
          <w:bCs/>
          <w:i w:val="0"/>
          <w:sz w:val="24"/>
          <w:szCs w:val="24"/>
          <w:lang w:val="en-US"/>
        </w:rPr>
        <w:t>0</w:t>
      </w:r>
      <w:r w:rsidRPr="00C9149B">
        <w:rPr>
          <w:rStyle w:val="Enfasicorsivo"/>
          <w:rFonts w:cs="Arial"/>
          <w:bCs/>
          <w:i w:val="0"/>
          <w:sz w:val="24"/>
          <w:szCs w:val="24"/>
          <w:lang w:val="en-US"/>
        </w:rPr>
        <w:t>.8), standard deviation (norms: &gt;0.2</w:t>
      </w:r>
      <w:r w:rsidR="00C81612">
        <w:rPr>
          <w:rStyle w:val="Enfasicorsivo"/>
          <w:rFonts w:cs="Arial"/>
          <w:bCs/>
          <w:i w:val="0"/>
          <w:sz w:val="24"/>
          <w:szCs w:val="24"/>
          <w:lang w:val="en-US"/>
        </w:rPr>
        <w:t>)</w:t>
      </w:r>
      <w:r w:rsidRPr="00C9149B">
        <w:rPr>
          <w:rStyle w:val="Enfasicorsivo"/>
          <w:rFonts w:cs="Arial"/>
          <w:bCs/>
          <w:i w:val="0"/>
          <w:sz w:val="24"/>
          <w:szCs w:val="24"/>
          <w:lang w:val="en-US"/>
        </w:rPr>
        <w:t>, corrected item total correlation</w:t>
      </w:r>
      <w:r w:rsidR="00067CA2" w:rsidRPr="00C9149B">
        <w:rPr>
          <w:rStyle w:val="Enfasicorsivo"/>
          <w:rFonts w:cs="Arial"/>
          <w:bCs/>
          <w:i w:val="0"/>
          <w:sz w:val="24"/>
          <w:szCs w:val="24"/>
          <w:lang w:val="en-US"/>
        </w:rPr>
        <w:t>s</w:t>
      </w:r>
      <w:r w:rsidRPr="00C9149B">
        <w:rPr>
          <w:rStyle w:val="Enfasicorsivo"/>
          <w:rFonts w:cs="Arial"/>
          <w:bCs/>
          <w:i w:val="0"/>
          <w:sz w:val="24"/>
          <w:szCs w:val="24"/>
          <w:lang w:val="en-US"/>
        </w:rPr>
        <w:t xml:space="preserve"> (</w:t>
      </w:r>
      <w:proofErr w:type="spellStart"/>
      <w:r w:rsidRPr="00C9149B">
        <w:rPr>
          <w:rStyle w:val="Enfasicorsivo"/>
          <w:rFonts w:cs="Arial"/>
          <w:bCs/>
          <w:i w:val="0"/>
          <w:sz w:val="24"/>
          <w:szCs w:val="24"/>
          <w:lang w:val="en-US"/>
        </w:rPr>
        <w:t>r</w:t>
      </w:r>
      <w:r w:rsidRPr="00C9149B">
        <w:rPr>
          <w:rStyle w:val="Enfasicorsivo"/>
          <w:rFonts w:cs="Arial"/>
          <w:bCs/>
          <w:i w:val="0"/>
          <w:sz w:val="24"/>
          <w:szCs w:val="24"/>
          <w:vertAlign w:val="subscript"/>
          <w:lang w:val="en-US"/>
        </w:rPr>
        <w:t>it</w:t>
      </w:r>
      <w:proofErr w:type="spellEnd"/>
      <w:r w:rsidRPr="00C9149B">
        <w:rPr>
          <w:rStyle w:val="Enfasicorsivo"/>
          <w:rFonts w:cs="Arial"/>
          <w:bCs/>
          <w:i w:val="0"/>
          <w:sz w:val="24"/>
          <w:szCs w:val="24"/>
          <w:vertAlign w:val="subscript"/>
          <w:lang w:val="en-US"/>
        </w:rPr>
        <w:t>(</w:t>
      </w:r>
      <w:proofErr w:type="spellStart"/>
      <w:r w:rsidRPr="00C9149B">
        <w:rPr>
          <w:rStyle w:val="Enfasicorsivo"/>
          <w:rFonts w:cs="Arial"/>
          <w:bCs/>
          <w:i w:val="0"/>
          <w:sz w:val="24"/>
          <w:szCs w:val="24"/>
          <w:vertAlign w:val="subscript"/>
          <w:lang w:val="en-US"/>
        </w:rPr>
        <w:t>i</w:t>
      </w:r>
      <w:proofErr w:type="spellEnd"/>
      <w:r w:rsidRPr="00C9149B">
        <w:rPr>
          <w:rStyle w:val="Enfasicorsivo"/>
          <w:rFonts w:cs="Arial"/>
          <w:bCs/>
          <w:i w:val="0"/>
          <w:sz w:val="24"/>
          <w:szCs w:val="24"/>
          <w:vertAlign w:val="subscript"/>
          <w:lang w:val="en-US"/>
        </w:rPr>
        <w:t>)</w:t>
      </w:r>
      <w:r w:rsidRPr="00C9149B">
        <w:rPr>
          <w:rStyle w:val="Enfasicorsivo"/>
          <w:rFonts w:cs="Arial"/>
          <w:bCs/>
          <w:i w:val="0"/>
          <w:sz w:val="24"/>
          <w:szCs w:val="24"/>
          <w:lang w:val="en-US"/>
        </w:rPr>
        <w:t xml:space="preserve"> norms: 0.3-0.5)</w:t>
      </w:r>
      <w:r w:rsidR="00067CA2" w:rsidRPr="00C9149B">
        <w:rPr>
          <w:rStyle w:val="Enfasicorsivo"/>
          <w:rFonts w:cs="Arial"/>
          <w:bCs/>
          <w:i w:val="0"/>
          <w:sz w:val="24"/>
          <w:szCs w:val="24"/>
          <w:lang w:val="en-US"/>
        </w:rPr>
        <w:t xml:space="preserve">, </w:t>
      </w:r>
      <w:proofErr w:type="spellStart"/>
      <w:r w:rsidR="00067CA2" w:rsidRPr="00C9149B">
        <w:rPr>
          <w:rStyle w:val="Enfasicorsivo"/>
          <w:rFonts w:cs="Arial"/>
          <w:bCs/>
          <w:i w:val="0"/>
          <w:sz w:val="24"/>
          <w:szCs w:val="24"/>
          <w:lang w:val="en-US"/>
        </w:rPr>
        <w:t>C</w:t>
      </w:r>
      <w:r w:rsidRPr="00C9149B">
        <w:rPr>
          <w:rStyle w:val="Enfasicorsivo"/>
          <w:rFonts w:cs="Arial"/>
          <w:bCs/>
          <w:i w:val="0"/>
          <w:sz w:val="24"/>
          <w:szCs w:val="24"/>
          <w:lang w:val="en-US"/>
        </w:rPr>
        <w:t>ronbach’s</w:t>
      </w:r>
      <w:proofErr w:type="spellEnd"/>
      <w:r w:rsidRPr="00C9149B">
        <w:rPr>
          <w:rStyle w:val="Enfasicorsivo"/>
          <w:rFonts w:cs="Arial"/>
          <w:bCs/>
          <w:i w:val="0"/>
          <w:sz w:val="24"/>
          <w:szCs w:val="24"/>
          <w:lang w:val="en-US"/>
        </w:rPr>
        <w:t xml:space="preserve"> alpha (norms: &gt;0.7, expected lower values due to multidimensional structure of the questionnaire)</w:t>
      </w:r>
      <w:r w:rsidR="00BC5F6C" w:rsidRPr="00C9149B">
        <w:rPr>
          <w:rStyle w:val="Enfasicorsivo"/>
          <w:rFonts w:cs="Arial"/>
          <w:bCs/>
          <w:i w:val="0"/>
          <w:sz w:val="24"/>
          <w:szCs w:val="24"/>
          <w:lang w:val="en-US"/>
        </w:rPr>
        <w:t>,</w:t>
      </w:r>
      <w:r w:rsidRPr="00C9149B">
        <w:rPr>
          <w:rStyle w:val="Enfasicorsivo"/>
          <w:rFonts w:cs="Arial"/>
          <w:bCs/>
          <w:i w:val="0"/>
          <w:sz w:val="24"/>
          <w:szCs w:val="24"/>
          <w:lang w:val="en-US"/>
        </w:rPr>
        <w:t xml:space="preserve"> and normal distribution criteria (Kolmogorov-Smirnov-test, α=0.05, two-tailed).</w:t>
      </w:r>
    </w:p>
    <w:p w14:paraId="4B546A14" w14:textId="77777777" w:rsidR="007541EF" w:rsidRPr="00C9149B" w:rsidRDefault="007541EF" w:rsidP="00437516">
      <w:pPr>
        <w:spacing w:after="0" w:line="240" w:lineRule="auto"/>
        <w:jc w:val="both"/>
        <w:rPr>
          <w:rStyle w:val="Enfasicorsivo"/>
          <w:rFonts w:cs="Arial"/>
          <w:bCs/>
          <w:i w:val="0"/>
          <w:sz w:val="24"/>
          <w:szCs w:val="24"/>
          <w:lang w:val="en-US"/>
        </w:rPr>
      </w:pPr>
      <w:r w:rsidRPr="00C9149B">
        <w:rPr>
          <w:rStyle w:val="Enfasicorsivo"/>
          <w:rFonts w:cs="Arial"/>
          <w:bCs/>
          <w:i w:val="0"/>
          <w:sz w:val="24"/>
          <w:szCs w:val="24"/>
          <w:lang w:val="en-US"/>
        </w:rPr>
        <w:t>All item difficulties and SD</w:t>
      </w:r>
      <w:r w:rsidR="00067CA2" w:rsidRPr="00C9149B">
        <w:rPr>
          <w:rStyle w:val="Enfasicorsivo"/>
          <w:rFonts w:cs="Arial"/>
          <w:bCs/>
          <w:i w:val="0"/>
          <w:sz w:val="24"/>
          <w:szCs w:val="24"/>
          <w:lang w:val="en-US"/>
        </w:rPr>
        <w:t>s</w:t>
      </w:r>
      <w:r w:rsidRPr="00C9149B">
        <w:rPr>
          <w:rStyle w:val="Enfasicorsivo"/>
          <w:rFonts w:cs="Arial"/>
          <w:bCs/>
          <w:i w:val="0"/>
          <w:sz w:val="24"/>
          <w:szCs w:val="24"/>
          <w:lang w:val="en-US"/>
        </w:rPr>
        <w:t xml:space="preserve"> of the RIKNO</w:t>
      </w:r>
      <w:r w:rsidR="00A431D4" w:rsidRPr="00C9149B">
        <w:rPr>
          <w:rStyle w:val="Enfasicorsivo"/>
          <w:rFonts w:cs="Arial"/>
          <w:bCs/>
          <w:i w:val="0"/>
          <w:sz w:val="24"/>
          <w:szCs w:val="24"/>
          <w:lang w:val="en-US"/>
        </w:rPr>
        <w:t xml:space="preserve"> 2.0</w:t>
      </w:r>
      <w:r w:rsidRPr="00C9149B">
        <w:rPr>
          <w:rStyle w:val="Enfasicorsivo"/>
          <w:rFonts w:cs="Arial"/>
          <w:bCs/>
          <w:i w:val="0"/>
          <w:sz w:val="24"/>
          <w:szCs w:val="24"/>
          <w:lang w:val="en-US"/>
        </w:rPr>
        <w:t xml:space="preserve"> and the MSKQ met expected criteria for the whole sample and per country. Item total correlations and Cronbach’s alpha were slightly below the expected range. </w:t>
      </w:r>
      <w:r w:rsidR="00067CA2" w:rsidRPr="00C9149B">
        <w:rPr>
          <w:rStyle w:val="Enfasicorsivo"/>
          <w:rFonts w:cs="Arial"/>
          <w:bCs/>
          <w:i w:val="0"/>
          <w:sz w:val="24"/>
          <w:szCs w:val="24"/>
          <w:lang w:val="en-US"/>
        </w:rPr>
        <w:t xml:space="preserve">Missing values for </w:t>
      </w:r>
      <w:r w:rsidRPr="00C9149B">
        <w:rPr>
          <w:rStyle w:val="Enfasicorsivo"/>
          <w:rFonts w:cs="Arial"/>
          <w:bCs/>
          <w:i w:val="0"/>
          <w:sz w:val="24"/>
          <w:szCs w:val="24"/>
          <w:lang w:val="en-US"/>
        </w:rPr>
        <w:t>RIKNO</w:t>
      </w:r>
      <w:r w:rsidR="00BC5F6C" w:rsidRPr="00C9149B">
        <w:rPr>
          <w:rStyle w:val="Enfasicorsivo"/>
          <w:rFonts w:cs="Arial"/>
          <w:bCs/>
          <w:i w:val="0"/>
          <w:sz w:val="24"/>
          <w:szCs w:val="24"/>
          <w:lang w:val="en-US"/>
        </w:rPr>
        <w:t xml:space="preserve"> 2.0</w:t>
      </w:r>
      <w:r w:rsidRPr="00C9149B">
        <w:rPr>
          <w:rStyle w:val="Enfasicorsivo"/>
          <w:rFonts w:cs="Arial"/>
          <w:bCs/>
          <w:i w:val="0"/>
          <w:sz w:val="24"/>
          <w:szCs w:val="24"/>
          <w:lang w:val="en-US"/>
        </w:rPr>
        <w:t xml:space="preserve"> ranged between 0</w:t>
      </w:r>
      <w:r w:rsidR="00067CA2" w:rsidRPr="00C9149B">
        <w:rPr>
          <w:rStyle w:val="Enfasicorsivo"/>
          <w:rFonts w:cs="Arial"/>
          <w:bCs/>
          <w:i w:val="0"/>
          <w:sz w:val="24"/>
          <w:szCs w:val="24"/>
          <w:lang w:val="en-US"/>
        </w:rPr>
        <w:t>-</w:t>
      </w:r>
      <w:r w:rsidRPr="00C9149B">
        <w:rPr>
          <w:rStyle w:val="Enfasicorsivo"/>
          <w:rFonts w:cs="Arial"/>
          <w:bCs/>
          <w:i w:val="0"/>
          <w:sz w:val="24"/>
          <w:szCs w:val="24"/>
          <w:lang w:val="en-US"/>
        </w:rPr>
        <w:t xml:space="preserve">8%. Mean of “don’t know” answers </w:t>
      </w:r>
      <w:bookmarkStart w:id="0" w:name="_GoBack"/>
      <w:bookmarkEnd w:id="0"/>
      <w:r w:rsidRPr="00C9149B">
        <w:rPr>
          <w:rStyle w:val="Enfasicorsivo"/>
          <w:rFonts w:cs="Arial"/>
          <w:bCs/>
          <w:i w:val="0"/>
          <w:sz w:val="24"/>
          <w:szCs w:val="24"/>
          <w:lang w:val="en-US"/>
        </w:rPr>
        <w:t>in MSKQ were 6% per country. The normal distribution criterion was not met in any country.</w:t>
      </w:r>
    </w:p>
    <w:sectPr w:rsidR="007541EF" w:rsidRPr="00C91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CD262" w14:textId="77777777" w:rsidR="001D6ACD" w:rsidRDefault="001D6ACD" w:rsidP="00204A81">
      <w:pPr>
        <w:spacing w:after="0" w:line="240" w:lineRule="auto"/>
      </w:pPr>
      <w:r>
        <w:separator/>
      </w:r>
    </w:p>
  </w:endnote>
  <w:endnote w:type="continuationSeparator" w:id="0">
    <w:p w14:paraId="5F330009" w14:textId="77777777" w:rsidR="001D6ACD" w:rsidRDefault="001D6ACD" w:rsidP="0020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6CF73" w14:textId="77777777" w:rsidR="00C9149B" w:rsidRDefault="00C9149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9E111" w14:textId="77777777" w:rsidR="00C9149B" w:rsidRDefault="00C9149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9AF16" w14:textId="77777777" w:rsidR="00C9149B" w:rsidRDefault="00C914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70E86" w14:textId="77777777" w:rsidR="001D6ACD" w:rsidRDefault="001D6ACD" w:rsidP="00204A81">
      <w:pPr>
        <w:spacing w:after="0" w:line="240" w:lineRule="auto"/>
      </w:pPr>
      <w:r>
        <w:separator/>
      </w:r>
    </w:p>
  </w:footnote>
  <w:footnote w:type="continuationSeparator" w:id="0">
    <w:p w14:paraId="28CB7634" w14:textId="77777777" w:rsidR="001D6ACD" w:rsidRDefault="001D6ACD" w:rsidP="00204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B903C" w14:textId="77777777" w:rsidR="00C9149B" w:rsidRDefault="00C9149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4B5E4" w14:textId="547C5280" w:rsidR="00204A81" w:rsidRPr="00204A81" w:rsidRDefault="00C9149B" w:rsidP="00204A81">
    <w:pPr>
      <w:pStyle w:val="Intestazione"/>
      <w:jc w:val="right"/>
      <w:rPr>
        <w:i/>
        <w:lang w:val="it-IT"/>
      </w:rPr>
    </w:pPr>
    <w:r>
      <w:rPr>
        <w:i/>
        <w:lang w:val="it-IT"/>
      </w:rPr>
      <w:t>Giordano et al.,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E1DEF" w14:textId="77777777" w:rsidR="00C9149B" w:rsidRDefault="00C9149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EF"/>
    <w:rsid w:val="00067CA2"/>
    <w:rsid w:val="00114857"/>
    <w:rsid w:val="001A480F"/>
    <w:rsid w:val="001D6ACD"/>
    <w:rsid w:val="00204A81"/>
    <w:rsid w:val="002366E8"/>
    <w:rsid w:val="002B7BD9"/>
    <w:rsid w:val="00304BD8"/>
    <w:rsid w:val="0030607F"/>
    <w:rsid w:val="003312AC"/>
    <w:rsid w:val="00362D71"/>
    <w:rsid w:val="003E53A2"/>
    <w:rsid w:val="0043051C"/>
    <w:rsid w:val="00432E8C"/>
    <w:rsid w:val="00437516"/>
    <w:rsid w:val="00506484"/>
    <w:rsid w:val="005646B0"/>
    <w:rsid w:val="005A48E3"/>
    <w:rsid w:val="007541EF"/>
    <w:rsid w:val="008072B4"/>
    <w:rsid w:val="00A431D4"/>
    <w:rsid w:val="00AC5E3B"/>
    <w:rsid w:val="00AE4EED"/>
    <w:rsid w:val="00B80C19"/>
    <w:rsid w:val="00BC5F6C"/>
    <w:rsid w:val="00C20516"/>
    <w:rsid w:val="00C81612"/>
    <w:rsid w:val="00C9149B"/>
    <w:rsid w:val="00DD6DAE"/>
    <w:rsid w:val="00FC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DA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1EF"/>
    <w:pPr>
      <w:spacing w:after="200" w:line="276" w:lineRule="auto"/>
    </w:pPr>
    <w:rPr>
      <w:rFonts w:eastAsiaTheme="minorEastAsia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7541EF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204A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4A81"/>
    <w:rPr>
      <w:rFonts w:eastAsiaTheme="minorEastAsia"/>
      <w:lang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204A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4A81"/>
    <w:rPr>
      <w:rFonts w:eastAsiaTheme="minorEastAsia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1EF"/>
    <w:pPr>
      <w:spacing w:after="200" w:line="276" w:lineRule="auto"/>
    </w:pPr>
    <w:rPr>
      <w:rFonts w:eastAsiaTheme="minorEastAsia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7541EF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204A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4A81"/>
    <w:rPr>
      <w:rFonts w:eastAsiaTheme="minorEastAsia"/>
      <w:lang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204A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4A81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Giordano Andrea</cp:lastModifiedBy>
  <cp:revision>20</cp:revision>
  <dcterms:created xsi:type="dcterms:W3CDTF">2017-11-29T09:31:00Z</dcterms:created>
  <dcterms:modified xsi:type="dcterms:W3CDTF">2018-11-14T11:20:00Z</dcterms:modified>
</cp:coreProperties>
</file>