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38" w:rsidRPr="002A6A38" w:rsidRDefault="00511038" w:rsidP="00511038">
      <w:pPr>
        <w:pStyle w:val="a6"/>
        <w:keepNext/>
        <w:rPr>
          <w:rFonts w:ascii="Arial Unicode MS" w:eastAsia="Arial Unicode MS" w:hAnsi="Arial Unicode MS" w:cs="Arial Unicode MS"/>
        </w:rPr>
      </w:pPr>
      <w:r w:rsidRPr="002A6A38">
        <w:rPr>
          <w:rFonts w:ascii="Arial Unicode MS" w:eastAsia="Arial Unicode MS" w:hAnsi="Arial Unicode MS" w:cs="Arial Unicode MS"/>
        </w:rPr>
        <w:t>S</w:t>
      </w:r>
      <w:r w:rsidR="00DF7E8C">
        <w:rPr>
          <w:rFonts w:ascii="Arial Unicode MS" w:eastAsia="Arial Unicode MS" w:hAnsi="Arial Unicode MS" w:cs="Arial Unicode MS"/>
        </w:rPr>
        <w:t>2</w:t>
      </w:r>
      <w:bookmarkStart w:id="0" w:name="_GoBack"/>
      <w:bookmarkEnd w:id="0"/>
      <w:r w:rsidRPr="002A6A38">
        <w:rPr>
          <w:rFonts w:ascii="Arial Unicode MS" w:eastAsia="Arial Unicode MS" w:hAnsi="Arial Unicode MS" w:cs="Arial Unicode MS"/>
        </w:rPr>
        <w:t xml:space="preserve"> Table. Hazard ratios of use of sedative-hypnotics on Alzheimer’s dementia among subjects who had insomnia</w:t>
      </w:r>
    </w:p>
    <w:tbl>
      <w:tblPr>
        <w:tblStyle w:val="a5"/>
        <w:tblW w:w="0" w:type="auto"/>
        <w:tblLook w:val="06A0" w:firstRow="1" w:lastRow="0" w:firstColumn="1" w:lastColumn="0" w:noHBand="1" w:noVBand="1"/>
      </w:tblPr>
      <w:tblGrid>
        <w:gridCol w:w="4182"/>
        <w:gridCol w:w="1288"/>
        <w:gridCol w:w="1639"/>
        <w:gridCol w:w="1017"/>
        <w:gridCol w:w="1197"/>
        <w:gridCol w:w="1298"/>
        <w:gridCol w:w="1197"/>
        <w:gridCol w:w="1328"/>
        <w:gridCol w:w="1197"/>
      </w:tblGrid>
      <w:tr w:rsidR="00511038" w:rsidRPr="00E339A3" w:rsidTr="00A50B8C">
        <w:trPr>
          <w:trHeight w:val="34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bCs/>
                <w:sz w:val="18"/>
              </w:rPr>
              <w:t>Person-years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bCs/>
                <w:sz w:val="18"/>
              </w:rPr>
              <w:t>Number of events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bCs/>
                <w:sz w:val="18"/>
              </w:rPr>
              <w:t>Crude HR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bCs/>
                <w:sz w:val="18"/>
              </w:rPr>
              <w:t>95% CI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bCs/>
                <w:sz w:val="18"/>
              </w:rPr>
              <w:t>Adj</w:t>
            </w:r>
            <w:r w:rsidRPr="00511038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usted</w:t>
            </w:r>
            <w:r w:rsidRPr="00511038">
              <w:rPr>
                <w:rFonts w:ascii="Arial Unicode MS" w:eastAsia="Arial Unicode MS" w:hAnsi="Arial Unicode MS" w:cs="Arial Unicode MS" w:hint="eastAsia"/>
                <w:b/>
                <w:bCs/>
                <w:sz w:val="18"/>
              </w:rPr>
              <w:t xml:space="preserve"> HR</w:t>
            </w:r>
            <w:r w:rsidRPr="00511038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*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bCs/>
                <w:sz w:val="18"/>
              </w:rPr>
              <w:t>95% CI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bCs/>
                <w:sz w:val="18"/>
              </w:rPr>
              <w:t>Adj</w:t>
            </w:r>
            <w:r w:rsidRPr="00511038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usted</w:t>
            </w:r>
            <w:r w:rsidRPr="00511038">
              <w:rPr>
                <w:rFonts w:ascii="Arial Unicode MS" w:eastAsia="Arial Unicode MS" w:hAnsi="Arial Unicode MS" w:cs="Arial Unicode MS" w:hint="eastAsia"/>
                <w:b/>
                <w:bCs/>
                <w:sz w:val="18"/>
              </w:rPr>
              <w:t xml:space="preserve"> HR</w:t>
            </w:r>
            <w:r w:rsidRPr="00511038">
              <w:rPr>
                <w:rFonts w:ascii="Arial Unicode MS" w:eastAsia="Arial Unicode MS" w:hAnsi="Arial Unicode MS" w:cs="Arial Unicode MS"/>
                <w:sz w:val="18"/>
              </w:rPr>
              <w:t>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bCs/>
                <w:sz w:val="18"/>
              </w:rPr>
              <w:t>95% CI</w:t>
            </w:r>
          </w:p>
        </w:tc>
      </w:tr>
      <w:tr w:rsidR="00511038" w:rsidRPr="00E339A3" w:rsidTr="00A50B8C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sz w:val="18"/>
              </w:rPr>
              <w:t>&lt;30 DDD of any sedative-hypnotics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74,950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885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Reference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Reference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Reference</w:t>
            </w:r>
          </w:p>
        </w:tc>
      </w:tr>
      <w:tr w:rsidR="00511038" w:rsidRPr="00E339A3" w:rsidTr="00A50B8C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sz w:val="18"/>
              </w:rPr>
              <w:t>≥30 DDD of any sedative-hypnotics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11,705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548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2.28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(2.03 - 2.55)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2.30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(2.06 - 2.58)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2.31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(2.06 - 2.59)</w:t>
            </w:r>
          </w:p>
        </w:tc>
      </w:tr>
      <w:tr w:rsidR="00511038" w:rsidRPr="00E339A3" w:rsidTr="00A50B8C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511038" w:rsidRPr="00E339A3" w:rsidTr="00A50B8C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sz w:val="18"/>
              </w:rPr>
              <w:t>&lt;30 DDD of any sedative-hypnotics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74,950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885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Reference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Reference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Reference</w:t>
            </w:r>
          </w:p>
        </w:tc>
      </w:tr>
      <w:tr w:rsidR="00511038" w:rsidRPr="00E339A3" w:rsidTr="00A50B8C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sz w:val="18"/>
              </w:rPr>
              <w:t>30-179 DDD of any sedative-hypnotics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6,848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263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1.70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(1.45 - 1.98)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1.74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(1.49 - 2.03)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1.77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(1.51 - 2.06)</w:t>
            </w:r>
          </w:p>
        </w:tc>
      </w:tr>
      <w:tr w:rsidR="00511038" w:rsidRPr="00E339A3" w:rsidTr="00A50B8C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sz w:val="18"/>
              </w:rPr>
              <w:t>180-359 DDD of any sedative-hypnotics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2,203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118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1.54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(1.19 - 1.98)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1.55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(1.20 - 2.00)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1.57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(1.21 - 2.03)</w:t>
            </w:r>
          </w:p>
        </w:tc>
      </w:tr>
      <w:tr w:rsidR="00511038" w:rsidRPr="00E339A3" w:rsidTr="00A50B8C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sz w:val="18"/>
              </w:rPr>
              <w:t>≥360 DDD of any sedative-hypnotics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2,654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167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2.50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(2.07 - 3.01)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2.49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(2.07 - 3.01)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2.50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(2.07 - 3.02)</w:t>
            </w:r>
          </w:p>
        </w:tc>
      </w:tr>
      <w:tr w:rsidR="00511038" w:rsidRPr="00E339A3" w:rsidTr="00A50B8C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511038" w:rsidRPr="00E339A3" w:rsidTr="00A50B8C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sz w:val="18"/>
              </w:rPr>
              <w:t>&lt;30 DDD of GABAA‡ and other drugs§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75,104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892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Reference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Reference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Reference</w:t>
            </w:r>
          </w:p>
        </w:tc>
      </w:tr>
      <w:tr w:rsidR="00511038" w:rsidRPr="00E339A3" w:rsidTr="00A50B8C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sz w:val="18"/>
              </w:rPr>
              <w:t>≥30 DDD of GABAA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9,928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459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2.15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(1.91 - 2.43)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2.19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(1.94 - 2.47)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2.22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(1.97 - 2.51)</w:t>
            </w:r>
          </w:p>
        </w:tc>
      </w:tr>
      <w:tr w:rsidR="00511038" w:rsidRPr="00E339A3" w:rsidTr="00A50B8C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sz w:val="18"/>
              </w:rPr>
              <w:t>≥30 DDD of other drugs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426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0.71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(0.29 - 1.71)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0.70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(0.29 - 1.68)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0.68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(0.28 - 1.65)</w:t>
            </w:r>
          </w:p>
        </w:tc>
      </w:tr>
      <w:tr w:rsidR="00511038" w:rsidRPr="00E339A3" w:rsidTr="00A50B8C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sz w:val="18"/>
              </w:rPr>
              <w:t>≥30 DDD of GABAA and ≥30 DDD of other drugs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1,198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77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2.98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(2.31 - 3.84)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2.94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(2.28 - 3.80)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2.81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(2.17 - 3.64)</w:t>
            </w:r>
          </w:p>
        </w:tc>
      </w:tr>
      <w:tr w:rsidR="00511038" w:rsidRPr="00E339A3" w:rsidTr="00A50B8C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511038" w:rsidRPr="00E339A3" w:rsidTr="00A50B8C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sz w:val="18"/>
              </w:rPr>
              <w:t>&lt;30 DDD of benzodiazepines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75,932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926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Reference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Reference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Reference</w:t>
            </w:r>
          </w:p>
        </w:tc>
      </w:tr>
      <w:tr w:rsidR="00511038" w:rsidRPr="00E339A3" w:rsidTr="00A50B8C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sz w:val="18"/>
              </w:rPr>
              <w:t>≥30 DDD of short-acting benzodiazepines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1,243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1.64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(1.21 - 2.23)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1.74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(1.28 - 2.36)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1.81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(1.33 - 2.46)</w:t>
            </w:r>
          </w:p>
        </w:tc>
      </w:tr>
      <w:tr w:rsidR="00511038" w:rsidRPr="00E339A3" w:rsidTr="00A50B8C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sz w:val="18"/>
              </w:rPr>
              <w:t>≥30 DDD of intermediate-acting benzodiazepines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1,872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74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1.48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(1.11 - 1.97)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1.52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(1.14 - 2.03)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1.54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(1.15 - 2.06)</w:t>
            </w:r>
          </w:p>
        </w:tc>
      </w:tr>
      <w:tr w:rsidR="00511038" w:rsidRPr="00E339A3" w:rsidTr="00A50B8C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b/>
                <w:sz w:val="18"/>
              </w:rPr>
              <w:t>≥30 DDD of long-acting benzodiazepines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2,186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115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2.20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(1.78 - 2.73)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2.21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(1.78 - 2.73)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2.26</w:t>
            </w:r>
          </w:p>
        </w:tc>
        <w:tc>
          <w:tcPr>
            <w:tcW w:w="0" w:type="auto"/>
            <w:noWrap/>
            <w:vAlign w:val="center"/>
            <w:hideMark/>
          </w:tcPr>
          <w:p w:rsidR="00511038" w:rsidRPr="00511038" w:rsidRDefault="00511038" w:rsidP="00A50B8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 w:rsidRPr="00511038">
              <w:rPr>
                <w:rFonts w:ascii="Arial Unicode MS" w:eastAsia="Arial Unicode MS" w:hAnsi="Arial Unicode MS" w:cs="Arial Unicode MS" w:hint="eastAsia"/>
                <w:sz w:val="18"/>
              </w:rPr>
              <w:t>(1.82 - 2.81)</w:t>
            </w:r>
          </w:p>
        </w:tc>
      </w:tr>
    </w:tbl>
    <w:p w:rsidR="00511038" w:rsidRPr="004536AC" w:rsidRDefault="00511038" w:rsidP="00511038">
      <w:pPr>
        <w:rPr>
          <w:rFonts w:ascii="Arial Unicode MS" w:eastAsia="Arial Unicode MS" w:hAnsi="Arial Unicode MS" w:cs="Arial Unicode MS"/>
        </w:rPr>
      </w:pPr>
      <w:r w:rsidRPr="004536AC">
        <w:rPr>
          <w:rFonts w:ascii="Arial Unicode MS" w:eastAsia="Arial Unicode MS" w:hAnsi="Arial Unicode MS" w:cs="Arial Unicode MS"/>
        </w:rPr>
        <w:t>Defined daily dose; DDD</w:t>
      </w:r>
    </w:p>
    <w:p w:rsidR="00511038" w:rsidRPr="004536AC" w:rsidRDefault="00511038" w:rsidP="00511038">
      <w:pPr>
        <w:rPr>
          <w:rFonts w:ascii="Arial Unicode MS" w:eastAsia="Arial Unicode MS" w:hAnsi="Arial Unicode MS" w:cs="Arial Unicode MS"/>
        </w:rPr>
      </w:pPr>
      <w:r w:rsidRPr="004536AC">
        <w:rPr>
          <w:rFonts w:ascii="Arial Unicode MS" w:eastAsia="Arial Unicode MS" w:hAnsi="Arial Unicode MS" w:cs="Arial Unicode MS"/>
        </w:rPr>
        <w:t>*adjusted for sex, diabetes mellitus, hypertension, hyperlipidaemia, cerebrovascular disease, insurance premium</w:t>
      </w:r>
    </w:p>
    <w:p w:rsidR="001C055D" w:rsidRDefault="00511038">
      <w:pPr>
        <w:rPr>
          <w:rFonts w:ascii="Arial Unicode MS" w:eastAsia="Arial Unicode MS" w:hAnsi="Arial Unicode MS" w:cs="Arial Unicode MS"/>
        </w:rPr>
      </w:pPr>
      <w:bookmarkStart w:id="1" w:name="OLE_LINK1"/>
      <w:bookmarkStart w:id="2" w:name="OLE_LINK2"/>
      <w:r w:rsidRPr="004536AC">
        <w:rPr>
          <w:rFonts w:ascii="Arial Unicode MS" w:eastAsia="Arial Unicode MS" w:hAnsi="Arial Unicode MS" w:cs="Arial Unicode MS"/>
        </w:rPr>
        <w:t>†</w:t>
      </w:r>
      <w:bookmarkEnd w:id="1"/>
      <w:bookmarkEnd w:id="2"/>
      <w:r w:rsidRPr="004536AC">
        <w:rPr>
          <w:rFonts w:ascii="Arial Unicode MS" w:eastAsia="Arial Unicode MS" w:hAnsi="Arial Unicode MS" w:cs="Arial Unicode MS"/>
        </w:rPr>
        <w:t>adjusted for sex, diabetes mellitus, hypertension, hyperlipidaemia, cerebrovascular disease, insurance premium, anxiety, depression, psychotic disorde</w:t>
      </w:r>
      <w:r w:rsidR="001C055D">
        <w:rPr>
          <w:rFonts w:ascii="Arial Unicode MS" w:eastAsia="Arial Unicode MS" w:hAnsi="Arial Unicode MS" w:cs="Arial Unicode MS"/>
        </w:rPr>
        <w:t>r ‡benzodiazepines or zolpidem</w:t>
      </w:r>
    </w:p>
    <w:p w:rsidR="00511038" w:rsidRDefault="00511038">
      <w:pPr>
        <w:rPr>
          <w:rFonts w:ascii="Arial Unicode MS" w:eastAsia="Arial Unicode MS" w:hAnsi="Arial Unicode MS" w:cs="Arial Unicode MS"/>
          <w:lang w:val="en-GB"/>
        </w:rPr>
      </w:pPr>
      <w:r w:rsidRPr="004536AC">
        <w:rPr>
          <w:rFonts w:ascii="Arial Unicode MS" w:eastAsia="Arial Unicode MS" w:hAnsi="Arial Unicode MS" w:cs="Arial Unicode MS"/>
        </w:rPr>
        <w:t>§antidepressants or low-dose antipsychotic</w:t>
      </w:r>
    </w:p>
    <w:sectPr w:rsidR="00511038" w:rsidSect="00AE6845">
      <w:endnotePr>
        <w:numFmt w:val="decimal"/>
      </w:endnotePr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A9" w:rsidRDefault="00E97BA9" w:rsidP="008A63FE">
      <w:pPr>
        <w:spacing w:after="0" w:line="240" w:lineRule="auto"/>
      </w:pPr>
      <w:r>
        <w:separator/>
      </w:r>
    </w:p>
  </w:endnote>
  <w:endnote w:type="continuationSeparator" w:id="0">
    <w:p w:rsidR="00E97BA9" w:rsidRDefault="00E97BA9" w:rsidP="008A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A9" w:rsidRDefault="00E97BA9" w:rsidP="008A63FE">
      <w:pPr>
        <w:spacing w:after="0" w:line="240" w:lineRule="auto"/>
      </w:pPr>
      <w:r>
        <w:separator/>
      </w:r>
    </w:p>
  </w:footnote>
  <w:footnote w:type="continuationSeparator" w:id="0">
    <w:p w:rsidR="00E97BA9" w:rsidRDefault="00E97BA9" w:rsidP="008A6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9A"/>
    <w:rsid w:val="001C055D"/>
    <w:rsid w:val="00511038"/>
    <w:rsid w:val="008A63FE"/>
    <w:rsid w:val="00DE63BA"/>
    <w:rsid w:val="00DF7E8C"/>
    <w:rsid w:val="00E8379A"/>
    <w:rsid w:val="00E97BA9"/>
    <w:rsid w:val="00EE6304"/>
    <w:rsid w:val="00F65BB4"/>
    <w:rsid w:val="00F8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031477-F0F3-4B8D-A316-00CFF18B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3FE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character" w:customStyle="1" w:styleId="Char">
    <w:name w:val="머리글 Char"/>
    <w:basedOn w:val="a0"/>
    <w:link w:val="a3"/>
    <w:uiPriority w:val="99"/>
    <w:rsid w:val="008A63FE"/>
  </w:style>
  <w:style w:type="paragraph" w:styleId="a4">
    <w:name w:val="footer"/>
    <w:basedOn w:val="a"/>
    <w:link w:val="Char0"/>
    <w:uiPriority w:val="99"/>
    <w:unhideWhenUsed/>
    <w:rsid w:val="008A63FE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character" w:customStyle="1" w:styleId="Char0">
    <w:name w:val="바닥글 Char"/>
    <w:basedOn w:val="a0"/>
    <w:link w:val="a4"/>
    <w:uiPriority w:val="99"/>
    <w:rsid w:val="008A63FE"/>
  </w:style>
  <w:style w:type="table" w:customStyle="1" w:styleId="22">
    <w:name w:val="일반 표 22"/>
    <w:basedOn w:val="a1"/>
    <w:uiPriority w:val="42"/>
    <w:rsid w:val="008A6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8A6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8A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511038"/>
    <w:pPr>
      <w:widowControl w:val="0"/>
      <w:wordWrap w:val="0"/>
      <w:autoSpaceDE w:val="0"/>
      <w:autoSpaceDN w:val="0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6</cp:revision>
  <dcterms:created xsi:type="dcterms:W3CDTF">2018-03-19T05:19:00Z</dcterms:created>
  <dcterms:modified xsi:type="dcterms:W3CDTF">2018-09-14T00:28:00Z</dcterms:modified>
</cp:coreProperties>
</file>