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A9" w:rsidRDefault="000D4FA9" w:rsidP="000D4FA9">
      <w:pPr>
        <w:rPr>
          <w:lang w:val="en-US"/>
        </w:rPr>
      </w:pPr>
      <w:proofErr w:type="gramStart"/>
      <w:r w:rsidRPr="00717CC7">
        <w:rPr>
          <w:b/>
          <w:lang w:val="en-US"/>
        </w:rPr>
        <w:t>S1 F</w:t>
      </w:r>
      <w:r w:rsidRPr="002D736C">
        <w:rPr>
          <w:b/>
          <w:lang w:val="en-US"/>
        </w:rPr>
        <w:t>ig.</w:t>
      </w:r>
      <w:proofErr w:type="gramEnd"/>
      <w:r w:rsidRPr="002D736C"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 xml:space="preserve">The stability of AMA1 plasmids in </w:t>
      </w:r>
      <w:r w:rsidRPr="0029649F">
        <w:rPr>
          <w:b/>
          <w:i/>
          <w:lang w:val="en-US"/>
        </w:rPr>
        <w:t>Talaromyces atroroseus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To follow </w:t>
      </w:r>
      <w:proofErr w:type="spellStart"/>
      <w:r>
        <w:rPr>
          <w:lang w:val="en-US"/>
        </w:rPr>
        <w:t>progressional</w:t>
      </w:r>
      <w:proofErr w:type="spellEnd"/>
      <w:r>
        <w:rPr>
          <w:lang w:val="en-US"/>
        </w:rPr>
        <w:t xml:space="preserve"> loss of the AMA1 plasmid as the fungus grows in the presence and absence of </w:t>
      </w:r>
      <w:proofErr w:type="spellStart"/>
      <w:r>
        <w:rPr>
          <w:lang w:val="en-US"/>
        </w:rPr>
        <w:t>hygromycin</w:t>
      </w:r>
      <w:proofErr w:type="spellEnd"/>
      <w:r>
        <w:rPr>
          <w:lang w:val="en-US"/>
        </w:rPr>
        <w:t xml:space="preserve"> selection, we used the following experimental setup presented in (A). Step 1, </w:t>
      </w:r>
      <w:r w:rsidRPr="00966B7E">
        <w:rPr>
          <w:i/>
          <w:lang w:val="en-US"/>
        </w:rPr>
        <w:t>T. atroroseus</w:t>
      </w:r>
      <w:r>
        <w:rPr>
          <w:lang w:val="en-US"/>
        </w:rPr>
        <w:t xml:space="preserve"> was transformed with a CRISPR plasmid (pFC332) containing the </w:t>
      </w:r>
      <w:proofErr w:type="spellStart"/>
      <w:r>
        <w:rPr>
          <w:lang w:val="en-US"/>
        </w:rPr>
        <w:t>hygromycin</w:t>
      </w:r>
      <w:proofErr w:type="spellEnd"/>
      <w:r>
        <w:rPr>
          <w:lang w:val="en-US"/>
        </w:rPr>
        <w:t xml:space="preserve"> resistance gene, but no </w:t>
      </w:r>
      <w:proofErr w:type="spellStart"/>
      <w:r>
        <w:rPr>
          <w:lang w:val="en-US"/>
        </w:rPr>
        <w:t>sgRNA</w:t>
      </w:r>
      <w:proofErr w:type="spellEnd"/>
      <w:r>
        <w:rPr>
          <w:lang w:val="en-US"/>
        </w:rPr>
        <w:t xml:space="preserve"> gene insert, and plated on solid CYA medium containing </w:t>
      </w:r>
      <w:proofErr w:type="spellStart"/>
      <w:r>
        <w:rPr>
          <w:lang w:val="en-US"/>
        </w:rPr>
        <w:t>hygromycin</w:t>
      </w:r>
      <w:proofErr w:type="spellEnd"/>
      <w:r>
        <w:rPr>
          <w:lang w:val="en-US"/>
        </w:rPr>
        <w:t>. Step 2, Spores from the resulting transformation plate (</w:t>
      </w:r>
      <w:proofErr w:type="spellStart"/>
      <w:r>
        <w:rPr>
          <w:lang w:val="en-US"/>
        </w:rPr>
        <w:t>CYA+hyg</w:t>
      </w:r>
      <w:proofErr w:type="spellEnd"/>
      <w:r>
        <w:rPr>
          <w:lang w:val="en-US"/>
        </w:rPr>
        <w:t xml:space="preserve">) were transferred via a single-point inoculation to a CYA plate as well as a </w:t>
      </w:r>
      <w:proofErr w:type="spellStart"/>
      <w:r>
        <w:rPr>
          <w:lang w:val="en-US"/>
        </w:rPr>
        <w:t>CYA+hyg</w:t>
      </w:r>
      <w:proofErr w:type="spellEnd"/>
      <w:r>
        <w:rPr>
          <w:lang w:val="en-US"/>
        </w:rPr>
        <w:t xml:space="preserve"> plate, and allowed to grow for </w:t>
      </w:r>
      <w:r w:rsidRPr="00717CC7">
        <w:rPr>
          <w:lang w:val="en-US"/>
        </w:rPr>
        <w:t>four</w:t>
      </w:r>
      <w:r>
        <w:rPr>
          <w:lang w:val="en-US"/>
        </w:rPr>
        <w:t xml:space="preserve"> days at 30</w:t>
      </w:r>
      <w:r>
        <w:rPr>
          <w:lang w:val="en-US"/>
        </w:rPr>
        <w:sym w:font="Symbol" w:char="F0B0"/>
      </w:r>
      <w:r>
        <w:rPr>
          <w:lang w:val="en-US"/>
        </w:rPr>
        <w:t xml:space="preserve">C, forming colonies with diameters of </w:t>
      </w:r>
      <w:r w:rsidRPr="00717CC7">
        <w:rPr>
          <w:lang w:val="en-US"/>
        </w:rPr>
        <w:t>approximately two cm. Step</w:t>
      </w:r>
      <w:r>
        <w:rPr>
          <w:lang w:val="en-US"/>
        </w:rPr>
        <w:t xml:space="preserve"> 3, from these colonies, spores were collected from an area of approximately a mm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from positions with increasing distance from the centers of the two colonies and transferred to solid CYA medium with and without </w:t>
      </w:r>
      <w:proofErr w:type="spellStart"/>
      <w:r>
        <w:rPr>
          <w:lang w:val="en-US"/>
        </w:rPr>
        <w:t>hygromycin</w:t>
      </w:r>
      <w:proofErr w:type="spellEnd"/>
      <w:r>
        <w:rPr>
          <w:lang w:val="en-US"/>
        </w:rPr>
        <w:t xml:space="preserve">. Specifically spores were recovered from the following distances from the center of the colony: 0, 0.5 and 1.0 cm. (B) Solid CYA medium with and without </w:t>
      </w:r>
      <w:proofErr w:type="spellStart"/>
      <w:r>
        <w:rPr>
          <w:lang w:val="en-US"/>
        </w:rPr>
        <w:t>hygromycin</w:t>
      </w:r>
      <w:proofErr w:type="spellEnd"/>
      <w:r>
        <w:rPr>
          <w:lang w:val="en-US"/>
        </w:rPr>
        <w:t xml:space="preserve"> from step 3. Reduced growth on the </w:t>
      </w:r>
      <w:proofErr w:type="spellStart"/>
      <w:r>
        <w:rPr>
          <w:lang w:val="en-US"/>
        </w:rPr>
        <w:t>CYA+hyg</w:t>
      </w:r>
      <w:proofErr w:type="spellEnd"/>
      <w:r>
        <w:rPr>
          <w:lang w:val="en-US"/>
        </w:rPr>
        <w:t xml:space="preserve"> plate as compared to growth on the CYA plate indicates loss of the AMA1 plasmid.</w:t>
      </w:r>
    </w:p>
    <w:p w:rsidR="00717CC7" w:rsidRDefault="00717CC7">
      <w:pPr>
        <w:rPr>
          <w:lang w:val="en-US"/>
        </w:rPr>
      </w:pPr>
    </w:p>
    <w:p w:rsidR="00717CC7" w:rsidRDefault="00717CC7">
      <w:pPr>
        <w:rPr>
          <w:lang w:val="en-US"/>
        </w:rPr>
      </w:pPr>
      <w:r>
        <w:rPr>
          <w:lang w:val="en-US"/>
        </w:rPr>
        <w:t>A</w:t>
      </w:r>
    </w:p>
    <w:p w:rsidR="00717CC7" w:rsidRPr="0029649F" w:rsidRDefault="002A00A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116129" cy="25792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for S1 Fi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5" b="13738"/>
                    <a:stretch/>
                  </pic:blipFill>
                  <pic:spPr bwMode="auto">
                    <a:xfrm>
                      <a:off x="0" y="0"/>
                      <a:ext cx="6120130" cy="258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CC7" w:rsidRDefault="00717CC7">
      <w:pPr>
        <w:rPr>
          <w:lang w:val="en-US"/>
        </w:rPr>
      </w:pPr>
    </w:p>
    <w:p w:rsidR="0029649F" w:rsidRPr="0029649F" w:rsidRDefault="00717CC7">
      <w:pPr>
        <w:rPr>
          <w:lang w:val="en-US"/>
        </w:rPr>
      </w:pPr>
      <w:r>
        <w:rPr>
          <w:lang w:val="en-US"/>
        </w:rPr>
        <w:t>B</w:t>
      </w:r>
    </w:p>
    <w:p w:rsidR="0029649F" w:rsidRPr="00966B7E" w:rsidRDefault="0029649F" w:rsidP="00717CC7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011947" cy="19625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537" cy="197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49F" w:rsidRPr="00966B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9F"/>
    <w:rsid w:val="000107B2"/>
    <w:rsid w:val="00034BAC"/>
    <w:rsid w:val="000D4FA9"/>
    <w:rsid w:val="00296176"/>
    <w:rsid w:val="0029649F"/>
    <w:rsid w:val="002A00A9"/>
    <w:rsid w:val="00447CBB"/>
    <w:rsid w:val="004E10E7"/>
    <w:rsid w:val="00533FFC"/>
    <w:rsid w:val="005F21F1"/>
    <w:rsid w:val="00613F6A"/>
    <w:rsid w:val="00652EA8"/>
    <w:rsid w:val="00717CC7"/>
    <w:rsid w:val="00807F81"/>
    <w:rsid w:val="00966B7E"/>
    <w:rsid w:val="009B1EDE"/>
    <w:rsid w:val="00AD7FF6"/>
    <w:rsid w:val="00D52A02"/>
    <w:rsid w:val="00E34C3F"/>
    <w:rsid w:val="00F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7C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7C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Lund Nielsen</dc:creator>
  <cp:lastModifiedBy>Maria Lund Nielsen</cp:lastModifiedBy>
  <cp:revision>7</cp:revision>
  <dcterms:created xsi:type="dcterms:W3CDTF">2016-12-15T14:25:00Z</dcterms:created>
  <dcterms:modified xsi:type="dcterms:W3CDTF">2016-12-18T15:55:00Z</dcterms:modified>
</cp:coreProperties>
</file>