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9C" w:rsidRPr="00F27E54" w:rsidRDefault="0098649C" w:rsidP="0098649C">
      <w:pPr>
        <w:spacing w:after="240" w:line="480" w:lineRule="auto"/>
        <w:rPr>
          <w:rFonts w:cs="Times New Roman"/>
          <w:b/>
        </w:rPr>
      </w:pPr>
      <w:proofErr w:type="gramStart"/>
      <w:r>
        <w:rPr>
          <w:b/>
        </w:rPr>
        <w:t xml:space="preserve">S4 </w:t>
      </w:r>
      <w:r w:rsidRPr="00F27E54">
        <w:rPr>
          <w:b/>
        </w:rPr>
        <w:t>Appendix.</w:t>
      </w:r>
      <w:proofErr w:type="gramEnd"/>
      <w:r w:rsidRPr="00F27E54">
        <w:rPr>
          <w:b/>
        </w:rPr>
        <w:t xml:space="preserve"> </w:t>
      </w:r>
      <w:r w:rsidRPr="00F27E54">
        <w:rPr>
          <w:rFonts w:cs="Times New Roman"/>
          <w:b/>
        </w:rPr>
        <w:t>Hazard Quotient approach</w:t>
      </w:r>
    </w:p>
    <w:p w:rsidR="0098649C" w:rsidRPr="00F27E54" w:rsidRDefault="0098649C" w:rsidP="0098649C">
      <w:pPr>
        <w:spacing w:after="240" w:line="480" w:lineRule="auto"/>
        <w:rPr>
          <w:rFonts w:cs="Times New Roman"/>
        </w:rPr>
      </w:pPr>
      <w:r w:rsidRPr="00F27E54">
        <w:rPr>
          <w:rFonts w:cs="Times New Roman"/>
        </w:rPr>
        <w:t>The Hazard Quotient approach for the non-target arthropod species</w:t>
      </w:r>
      <w:r>
        <w:rPr>
          <w:rFonts w:cs="Times New Roman"/>
        </w:rPr>
        <w:t xml:space="preserve"> (</w:t>
      </w:r>
      <w:r w:rsidRPr="008832BB">
        <w:rPr>
          <w:rFonts w:cs="Times New Roman"/>
          <w:i/>
        </w:rPr>
        <w:t>HQ</w:t>
      </w:r>
      <w:r w:rsidRPr="008832BB">
        <w:rPr>
          <w:rFonts w:cs="Times New Roman"/>
          <w:i/>
          <w:vertAlign w:val="subscript"/>
        </w:rPr>
        <w:t>N</w:t>
      </w:r>
      <w:r>
        <w:rPr>
          <w:rFonts w:cs="Times New Roman"/>
        </w:rPr>
        <w:t xml:space="preserve">) </w:t>
      </w:r>
      <w:r w:rsidRPr="00F27E54">
        <w:rPr>
          <w:rFonts w:cs="Times New Roman"/>
        </w:rPr>
        <w:t xml:space="preserve">has been developed by the ‘European Standard Characteristics of Non-target Arthropod Regulatory Testing’ workshop </w:t>
      </w:r>
      <w:r w:rsidRPr="00F27E54">
        <w:rPr>
          <w:rFonts w:cs="Times New Roman"/>
        </w:rPr>
        <w:fldChar w:fldCharType="begin" w:fldLock="1"/>
      </w:r>
      <w:r w:rsidR="003C6236">
        <w:rPr>
          <w:rFonts w:cs="Times New Roman"/>
        </w:rPr>
        <w:instrText>ADDIN CSL_CITATION { "citationItems" : [ { "id" : "ITEM-1", "itemData" : { "author" : [ { "dropping-particle" : "", "family" : "ESCORT", "given" : "", "non-dropping-particle" : "", "parse-names" : false, "suffix" : "" } ], "id" : "ITEM-1", "issued" : { "date-parts" : [ [ "2000" ] ] }, "number-of-pages" : "1-24", "publisher-place" : "Wageningen,the Netherlands", "title" : "Guidance document on regulatory testing and risk assessment procedures for plant protection products with non-target arthropods", "type" : "report" }, "uris" : [ "http://www.mendeley.com/documents/?uuid=e60f7650-67e2-46fa-bdf4-7e29be0170c1" ] } ], "mendeley" : { "formattedCitation" : "[1]", "plainTextFormattedCitation" : "[1]", "previouslyFormattedCitation" : "[1]" }, "properties" : { "noteIndex" : 0 }, "schema" : "https://github.com/citation-style-language/schema/raw/master/csl-citation.json" }</w:instrText>
      </w:r>
      <w:r w:rsidRPr="00F27E54">
        <w:rPr>
          <w:rFonts w:cs="Times New Roman"/>
        </w:rPr>
        <w:fldChar w:fldCharType="separate"/>
      </w:r>
      <w:r w:rsidR="003C6236" w:rsidRPr="003C6236">
        <w:rPr>
          <w:rFonts w:cs="Times New Roman"/>
          <w:noProof/>
        </w:rPr>
        <w:t>[1]</w:t>
      </w:r>
      <w:r w:rsidRPr="00F27E54">
        <w:rPr>
          <w:rFonts w:cs="Times New Roman"/>
        </w:rPr>
        <w:fldChar w:fldCharType="end"/>
      </w:r>
      <w:r w:rsidRPr="00F27E54">
        <w:rPr>
          <w:rFonts w:cs="Times New Roman"/>
        </w:rPr>
        <w:t xml:space="preserve">, and has been used as a required assessment of pesticide registration in the EU. The in-field </w:t>
      </w:r>
      <w:r w:rsidRPr="008832BB">
        <w:rPr>
          <w:rFonts w:cs="Times New Roman"/>
          <w:i/>
        </w:rPr>
        <w:t>HQ</w:t>
      </w:r>
      <w:r w:rsidRPr="008832BB">
        <w:rPr>
          <w:rFonts w:cs="Times New Roman"/>
          <w:i/>
          <w:vertAlign w:val="subscript"/>
        </w:rPr>
        <w:t>N</w:t>
      </w:r>
      <w:r w:rsidRPr="00F27E54">
        <w:rPr>
          <w:rFonts w:cs="Times New Roman"/>
        </w:rPr>
        <w:t xml:space="preserve"> method is:</w:t>
      </w:r>
    </w:p>
    <w:p w:rsidR="0098649C" w:rsidRPr="00F27E54" w:rsidRDefault="0098649C" w:rsidP="0098649C">
      <w:pPr>
        <w:spacing w:after="240" w:line="480" w:lineRule="auto"/>
        <w:rPr>
          <w:rFonts w:cs="Times New Roman"/>
        </w:rPr>
      </w:pPr>
      <w:bookmarkStart w:id="0" w:name="OLE_LINK19"/>
      <w:bookmarkStart w:id="1" w:name="OLE_LINK20"/>
      <m:oMathPara>
        <m:oMath>
          <m:r>
            <m:rPr>
              <m:sty m:val="p"/>
            </m:rPr>
            <w:rPr>
              <w:rFonts w:ascii="Cambria Math" w:hAnsi="Cambria Math" w:cs="Times New Roman"/>
            </w:rPr>
            <m:t xml:space="preserve">In-field </m:t>
          </m:r>
          <m:sSub>
            <m:sSubPr>
              <m:ctrlPr>
                <w:rPr>
                  <w:rFonts w:ascii="Cambria Math" w:eastAsiaTheme="minorHAnsi" w:hAnsi="Cambria Math" w:cs="Times New Roman"/>
                </w:rPr>
              </m:ctrlPr>
            </m:sSubPr>
            <m:e>
              <m:r>
                <w:rPr>
                  <w:rFonts w:ascii="Cambria Math" w:hAnsi="Cambria Math" w:cs="Times New Roman"/>
                </w:rPr>
                <m:t>HQ</m:t>
              </m:r>
            </m:e>
            <m:sub>
              <m:r>
                <w:rPr>
                  <w:rFonts w:ascii="Cambria Math" w:hAnsi="Cambria Math" w:cs="Times New Roman"/>
                </w:rPr>
                <m:t>N</m:t>
              </m:r>
            </m:sub>
          </m:sSub>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Application rate×MAF</m:t>
              </m:r>
            </m:num>
            <m:den>
              <m:sSub>
                <m:sSubPr>
                  <m:ctrlPr>
                    <w:rPr>
                      <w:rFonts w:ascii="Cambria Math" w:hAnsi="Cambria Math" w:cs="Times New Roman"/>
                      <w:i/>
                    </w:rPr>
                  </m:ctrlPr>
                </m:sSubPr>
                <m:e>
                  <m:r>
                    <w:rPr>
                      <w:rFonts w:ascii="Cambria Math" w:hAnsi="Cambria Math" w:cs="Times New Roman"/>
                    </w:rPr>
                    <m:t>LR</m:t>
                  </m:r>
                </m:e>
                <m:sub>
                  <m:r>
                    <w:rPr>
                      <w:rFonts w:ascii="Cambria Math" w:hAnsi="Cambria Math" w:cs="Times New Roman"/>
                    </w:rPr>
                    <m:t>50</m:t>
                  </m:r>
                </m:sub>
              </m:sSub>
              <m:r>
                <w:rPr>
                  <w:rFonts w:ascii="Cambria Math" w:hAnsi="Cambria Math" w:cs="Times New Roman"/>
                </w:rPr>
                <m:t>(N)</m:t>
              </m:r>
            </m:den>
          </m:f>
          <w:bookmarkEnd w:id="0"/>
          <w:bookmarkEnd w:id="1"/>
          <m:r>
            <m:rPr>
              <m:sty m:val="p"/>
            </m:rPr>
            <w:rPr>
              <w:rFonts w:ascii="Cambria Math" w:hAnsi="Cambria Math" w:cs="Times New Roman"/>
            </w:rPr>
            <w:br/>
          </m:r>
        </m:oMath>
      </m:oMathPara>
      <w:r w:rsidRPr="00F27E54">
        <w:rPr>
          <w:rFonts w:cs="Times New Roman"/>
        </w:rPr>
        <w:t xml:space="preserve">where the ‘application rate’ is the single application rate in g </w:t>
      </w:r>
      <w:proofErr w:type="spellStart"/>
      <w:r w:rsidRPr="00F27E54">
        <w:rPr>
          <w:rFonts w:cs="Times New Roman"/>
        </w:rPr>
        <w:t>a.i</w:t>
      </w:r>
      <w:proofErr w:type="spellEnd"/>
      <w:r w:rsidRPr="00F27E54">
        <w:rPr>
          <w:rFonts w:cs="Times New Roman"/>
        </w:rPr>
        <w:t xml:space="preserve">. (active ingredient) /ha, MAF is the Multiple Application Factor (maximum residue level after multiple applications of the products), </w:t>
      </w:r>
      <w:r w:rsidRPr="008832BB">
        <w:rPr>
          <w:rFonts w:cs="Times New Roman"/>
          <w:i/>
        </w:rPr>
        <w:t>LR</w:t>
      </w:r>
      <w:r>
        <w:rPr>
          <w:rFonts w:cs="Times New Roman"/>
          <w:vertAlign w:val="subscript"/>
        </w:rPr>
        <w:t>50</w:t>
      </w:r>
      <w:r>
        <w:rPr>
          <w:rFonts w:cs="Times New Roman"/>
        </w:rPr>
        <w:t>(</w:t>
      </w:r>
      <w:r w:rsidRPr="008832BB">
        <w:rPr>
          <w:rFonts w:cs="Times New Roman"/>
          <w:i/>
        </w:rPr>
        <w:t>N</w:t>
      </w:r>
      <w:r>
        <w:rPr>
          <w:rFonts w:cs="Times New Roman"/>
        </w:rPr>
        <w:t xml:space="preserve">) </w:t>
      </w:r>
      <w:r w:rsidRPr="00F27E54">
        <w:rPr>
          <w:rFonts w:cs="Times New Roman"/>
        </w:rPr>
        <w:t xml:space="preserve">is the lethal rate 50 for natural enemies in g </w:t>
      </w:r>
      <w:proofErr w:type="spellStart"/>
      <w:r w:rsidRPr="00F27E54">
        <w:rPr>
          <w:rFonts w:cs="Times New Roman"/>
        </w:rPr>
        <w:t>a.i</w:t>
      </w:r>
      <w:proofErr w:type="spellEnd"/>
      <w:r w:rsidRPr="00F27E54">
        <w:rPr>
          <w:rFonts w:cs="Times New Roman"/>
        </w:rPr>
        <w:t xml:space="preserve">. /ha (application rate causing 50% mortality of the organisms under worst-case laboratory conditions). This method is used to assess the initial toxicity experiment of the two most sensitive non-target arthropod species, </w:t>
      </w:r>
      <w:proofErr w:type="spellStart"/>
      <w:r w:rsidRPr="00F27E54">
        <w:rPr>
          <w:rFonts w:cs="Times New Roman"/>
          <w:i/>
        </w:rPr>
        <w:t>Aphidius</w:t>
      </w:r>
      <w:proofErr w:type="spellEnd"/>
      <w:r w:rsidRPr="00F27E54">
        <w:rPr>
          <w:rFonts w:cs="Times New Roman"/>
          <w:i/>
        </w:rPr>
        <w:t xml:space="preserve"> </w:t>
      </w:r>
      <w:proofErr w:type="spellStart"/>
      <w:r w:rsidRPr="00F27E54">
        <w:rPr>
          <w:rFonts w:cs="Times New Roman"/>
          <w:i/>
        </w:rPr>
        <w:t>rhopalosiphi</w:t>
      </w:r>
      <w:proofErr w:type="spellEnd"/>
      <w:r w:rsidRPr="00F27E54">
        <w:rPr>
          <w:rFonts w:cs="Times New Roman"/>
        </w:rPr>
        <w:t xml:space="preserve"> and </w:t>
      </w:r>
      <w:proofErr w:type="spellStart"/>
      <w:r w:rsidRPr="00F27E54">
        <w:rPr>
          <w:rFonts w:cs="Times New Roman"/>
          <w:i/>
        </w:rPr>
        <w:t>Typhlodromus</w:t>
      </w:r>
      <w:proofErr w:type="spellEnd"/>
      <w:r w:rsidRPr="00F27E54">
        <w:rPr>
          <w:rFonts w:cs="Times New Roman"/>
          <w:i/>
        </w:rPr>
        <w:t xml:space="preserve"> </w:t>
      </w:r>
      <w:proofErr w:type="spellStart"/>
      <w:r w:rsidRPr="00F27E54">
        <w:rPr>
          <w:rFonts w:cs="Times New Roman"/>
          <w:i/>
        </w:rPr>
        <w:t>pyri</w:t>
      </w:r>
      <w:proofErr w:type="spellEnd"/>
      <w:r w:rsidRPr="00F27E54">
        <w:rPr>
          <w:rFonts w:cs="Times New Roman"/>
        </w:rPr>
        <w:t xml:space="preserve">. If one or both the HQ results exceed 2, it indicates a potential hazard to the non-target species. In this study due to lack of information on the toxicity test for </w:t>
      </w:r>
      <w:proofErr w:type="spellStart"/>
      <w:r w:rsidRPr="00F27E54">
        <w:rPr>
          <w:rFonts w:cs="Times New Roman"/>
          <w:i/>
        </w:rPr>
        <w:t>Typhlodromus</w:t>
      </w:r>
      <w:proofErr w:type="spellEnd"/>
      <w:r w:rsidRPr="00F27E54">
        <w:rPr>
          <w:rFonts w:cs="Times New Roman"/>
          <w:i/>
        </w:rPr>
        <w:t xml:space="preserve"> </w:t>
      </w:r>
      <w:proofErr w:type="spellStart"/>
      <w:r w:rsidRPr="00F27E54">
        <w:rPr>
          <w:rFonts w:cs="Times New Roman"/>
          <w:i/>
        </w:rPr>
        <w:t>pyri</w:t>
      </w:r>
      <w:proofErr w:type="spellEnd"/>
      <w:r w:rsidRPr="00F27E54">
        <w:rPr>
          <w:rFonts w:cs="Times New Roman"/>
        </w:rPr>
        <w:t xml:space="preserve">, only </w:t>
      </w:r>
      <w:proofErr w:type="spellStart"/>
      <w:r w:rsidRPr="00F27E54">
        <w:rPr>
          <w:rFonts w:cs="Times New Roman"/>
          <w:i/>
        </w:rPr>
        <w:t>Aphidius</w:t>
      </w:r>
      <w:proofErr w:type="spellEnd"/>
      <w:r w:rsidRPr="00F27E54">
        <w:rPr>
          <w:rFonts w:cs="Times New Roman"/>
          <w:i/>
        </w:rPr>
        <w:t xml:space="preserve"> </w:t>
      </w:r>
      <w:proofErr w:type="spellStart"/>
      <w:r w:rsidRPr="00F27E54">
        <w:rPr>
          <w:rFonts w:cs="Times New Roman"/>
          <w:i/>
        </w:rPr>
        <w:t>rhopalosiphi</w:t>
      </w:r>
      <w:proofErr w:type="spellEnd"/>
      <w:r w:rsidRPr="00F27E54">
        <w:rPr>
          <w:rFonts w:cs="Times New Roman"/>
        </w:rPr>
        <w:t xml:space="preserve"> is used.</w:t>
      </w:r>
    </w:p>
    <w:p w:rsidR="0098649C" w:rsidRPr="00F27E54" w:rsidRDefault="0098649C" w:rsidP="0098649C">
      <w:pPr>
        <w:spacing w:after="240" w:line="480" w:lineRule="auto"/>
        <w:rPr>
          <w:rFonts w:cs="Times New Roman"/>
        </w:rPr>
      </w:pPr>
      <w:r w:rsidRPr="00F27E54">
        <w:rPr>
          <w:rFonts w:cs="Times New Roman"/>
        </w:rPr>
        <w:t>The application rate</w:t>
      </w:r>
      <w:r w:rsidRPr="00F27E54">
        <w:rPr>
          <w:rFonts w:cs="Times New Roman" w:hint="eastAsia"/>
          <w:lang w:eastAsia="zh-CN"/>
        </w:rPr>
        <w:t xml:space="preserve">s of </w:t>
      </w:r>
      <w:r w:rsidRPr="00F27E54">
        <w:rPr>
          <w:rFonts w:cs="Times New Roman"/>
          <w:lang w:eastAsia="zh-CN"/>
        </w:rPr>
        <w:t>the available</w:t>
      </w:r>
      <w:r w:rsidRPr="00F27E54">
        <w:rPr>
          <w:rFonts w:cs="Times New Roman" w:hint="eastAsia"/>
          <w:lang w:eastAsia="zh-CN"/>
        </w:rPr>
        <w:t xml:space="preserve"> active ingredients were estimated from the </w:t>
      </w:r>
      <w:proofErr w:type="spellStart"/>
      <w:r w:rsidRPr="00F27E54">
        <w:rPr>
          <w:rFonts w:cs="Times New Roman" w:hint="eastAsia"/>
          <w:lang w:eastAsia="zh-CN"/>
        </w:rPr>
        <w:t>Fera</w:t>
      </w:r>
      <w:proofErr w:type="spellEnd"/>
      <w:r w:rsidRPr="00F27E54">
        <w:rPr>
          <w:rFonts w:cs="Times New Roman" w:hint="eastAsia"/>
          <w:lang w:eastAsia="zh-CN"/>
        </w:rPr>
        <w:t xml:space="preserve"> pesticide use database</w:t>
      </w:r>
      <w:r w:rsidRPr="00F27E54">
        <w:rPr>
          <w:rFonts w:cs="Times New Roman"/>
          <w:lang w:eastAsia="zh-CN"/>
        </w:rPr>
        <w:t xml:space="preserve"> </w:t>
      </w:r>
      <w:r w:rsidRPr="00F27E54">
        <w:fldChar w:fldCharType="begin" w:fldLock="1"/>
      </w:r>
      <w:r w:rsidR="003C6236">
        <w:instrText>ADDIN CSL_CITATION { "citationItems" : [ { "id" : "ITEM-1", "itemData" : { "URL" : "http://pusstats.fera.defra.gov.uk/index.cfm", "author" : [ { "dropping-particle" : "", "family" : "Fera", "given" : "", "non-dropping-particle" : "", "parse-names" : false, "suffix" : "" } ], "container-title" : "Department for Environment Food and Rural Affairs", "id" : "ITEM-1", "issued" : { "date-parts" : [ [ "2015" ] ] }, "title" : "Pesticide Usage Surveys", "type" : "webpage" }, "uris" : [ "http://www.mendeley.com/documents/?uuid=2e8aea9c-7792-4891-8d29-9fa3ff6c693e" ] } ], "mendeley" : { "formattedCitation" : "[2]", "plainTextFormattedCitation" : "[2]", "previouslyFormattedCitation" : "[2]" }, "properties" : { "noteIndex" : 0 }, "schema" : "https://github.com/citation-style-language/schema/raw/master/csl-citation.json" }</w:instrText>
      </w:r>
      <w:r w:rsidRPr="00F27E54">
        <w:fldChar w:fldCharType="separate"/>
      </w:r>
      <w:r w:rsidR="003C6236" w:rsidRPr="003C6236">
        <w:rPr>
          <w:noProof/>
        </w:rPr>
        <w:t>[2]</w:t>
      </w:r>
      <w:r w:rsidRPr="00F27E54">
        <w:fldChar w:fldCharType="end"/>
      </w:r>
      <w:r w:rsidRPr="00F27E54">
        <w:rPr>
          <w:rFonts w:cs="Times New Roman" w:hint="eastAsia"/>
          <w:lang w:eastAsia="zh-CN"/>
        </w:rPr>
        <w:t xml:space="preserve">. </w:t>
      </w:r>
      <w:r w:rsidRPr="00F27E54">
        <w:rPr>
          <w:rFonts w:cs="Times New Roman"/>
        </w:rPr>
        <w:t xml:space="preserve">It is assumed that the derived application rate is the single application rate. As for the MAF, because the average spray rounds of insecticides used in the UK in the past 14 years is 1.1 (calculated from </w:t>
      </w:r>
      <w:r w:rsidR="003C6236">
        <w:rPr>
          <w:rFonts w:cs="Times New Roman"/>
        </w:rPr>
        <w:t>[2]</w:t>
      </w:r>
      <w:r w:rsidRPr="00F27E54">
        <w:rPr>
          <w:rFonts w:cs="Times New Roman"/>
        </w:rPr>
        <w:t>), it is assumed that MAF is 1 for all the active ingredients.</w:t>
      </w:r>
    </w:p>
    <w:p w:rsidR="0098649C" w:rsidRPr="00F27E54" w:rsidRDefault="0098649C" w:rsidP="0098649C">
      <w:pPr>
        <w:spacing w:after="240" w:line="480" w:lineRule="auto"/>
        <w:rPr>
          <w:rFonts w:cs="Times New Roman"/>
          <w:lang w:eastAsia="zh-CN"/>
        </w:rPr>
      </w:pPr>
      <w:r w:rsidRPr="008832BB">
        <w:rPr>
          <w:rFonts w:cs="Times New Roman"/>
          <w:i/>
        </w:rPr>
        <w:t>LR</w:t>
      </w:r>
      <w:r>
        <w:rPr>
          <w:rFonts w:cs="Times New Roman"/>
          <w:vertAlign w:val="subscript"/>
        </w:rPr>
        <w:t>50</w:t>
      </w:r>
      <w:r>
        <w:rPr>
          <w:rFonts w:cs="Times New Roman"/>
        </w:rPr>
        <w:t>(</w:t>
      </w:r>
      <w:r w:rsidRPr="008832BB">
        <w:rPr>
          <w:rFonts w:cs="Times New Roman"/>
          <w:i/>
        </w:rPr>
        <w:t>N</w:t>
      </w:r>
      <w:r>
        <w:rPr>
          <w:rFonts w:cs="Times New Roman"/>
        </w:rPr>
        <w:t>)</w:t>
      </w:r>
      <w:r w:rsidRPr="00F27E54">
        <w:t xml:space="preserve">  were mainly collected from the </w:t>
      </w:r>
      <w:r w:rsidRPr="00F27E54">
        <w:rPr>
          <w:rFonts w:cs="Times New Roman" w:hint="eastAsia"/>
          <w:lang w:eastAsia="zh-CN"/>
        </w:rPr>
        <w:t xml:space="preserve">European Food Safety Authority </w:t>
      </w:r>
      <w:r w:rsidRPr="00F27E54">
        <w:rPr>
          <w:lang w:eastAsia="zh-CN"/>
        </w:rPr>
        <w:fldChar w:fldCharType="begin" w:fldLock="1"/>
      </w:r>
      <w:r w:rsidR="003C6236">
        <w:rPr>
          <w:lang w:eastAsia="zh-CN"/>
        </w:rPr>
        <w:instrText>ADDIN CSL_CITATION { "citationItems" : [ { "id" : "ITEM-1", "itemData" : { "URL" : "http://dar.efsa.europa.eu/dar-web/provision", "author" : [ { "dropping-particle" : "", "family" : "EFSA", "given" : "", "non-dropping-particle" : "", "parse-names" : false, "suffix" : "" } ], "container-title" : "European Food Safety Authority", "id" : "ITEM-1", "issued" : { "date-parts" : [ [ "2015" ] ] }, "title" : "Rapporteur Member State assessment reports submitted for the EU peer review of active substances used in plant protection products", "type" : "webpage" }, "uris" : [ "http://www.mendeley.com/documents/?uuid=2dde9085-29da-4ce3-95a4-236400dda653" ] } ], "mendeley" : { "formattedCitation" : "[3]", "plainTextFormattedCitation" : "[3]", "previouslyFormattedCitation" : "[3]" }, "properties" : { "noteIndex" : 0 }, "schema" : "https://github.com/citation-style-language/schema/raw/master/csl-citation.json" }</w:instrText>
      </w:r>
      <w:r w:rsidRPr="00F27E54">
        <w:rPr>
          <w:lang w:eastAsia="zh-CN"/>
        </w:rPr>
        <w:fldChar w:fldCharType="separate"/>
      </w:r>
      <w:r w:rsidR="003C6236" w:rsidRPr="003C6236">
        <w:rPr>
          <w:noProof/>
          <w:lang w:eastAsia="zh-CN"/>
        </w:rPr>
        <w:t>[3]</w:t>
      </w:r>
      <w:r w:rsidRPr="00F27E54">
        <w:rPr>
          <w:lang w:eastAsia="zh-CN"/>
        </w:rPr>
        <w:fldChar w:fldCharType="end"/>
      </w:r>
      <w:r w:rsidRPr="00F27E54">
        <w:rPr>
          <w:lang w:eastAsia="zh-CN"/>
        </w:rPr>
        <w:t>:</w:t>
      </w:r>
    </w:p>
    <w:tbl>
      <w:tblPr>
        <w:tblW w:w="5817" w:type="dxa"/>
        <w:tblInd w:w="103" w:type="dxa"/>
        <w:tblBorders>
          <w:top w:val="single" w:sz="4" w:space="0" w:color="auto"/>
          <w:bottom w:val="single" w:sz="4" w:space="0" w:color="auto"/>
        </w:tblBorders>
        <w:tblLook w:val="04A0" w:firstRow="1" w:lastRow="0" w:firstColumn="1" w:lastColumn="0" w:noHBand="0" w:noVBand="1"/>
      </w:tblPr>
      <w:tblGrid>
        <w:gridCol w:w="2300"/>
        <w:gridCol w:w="1900"/>
        <w:gridCol w:w="1617"/>
      </w:tblGrid>
      <w:tr w:rsidR="0098649C" w:rsidRPr="00F27E54" w:rsidTr="00302ED0">
        <w:trPr>
          <w:trHeight w:val="300"/>
        </w:trPr>
        <w:tc>
          <w:tcPr>
            <w:tcW w:w="2300" w:type="dxa"/>
            <w:tcBorders>
              <w:top w:val="single" w:sz="4" w:space="0" w:color="auto"/>
              <w:bottom w:val="single" w:sz="4" w:space="0" w:color="auto"/>
            </w:tcBorders>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Active ingredients</w:t>
            </w:r>
          </w:p>
        </w:tc>
        <w:tc>
          <w:tcPr>
            <w:tcW w:w="1900" w:type="dxa"/>
            <w:tcBorders>
              <w:top w:val="single" w:sz="4" w:space="0" w:color="auto"/>
              <w:bottom w:val="single" w:sz="4" w:space="0" w:color="auto"/>
            </w:tcBorders>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Chemical groups</w:t>
            </w:r>
          </w:p>
        </w:tc>
        <w:tc>
          <w:tcPr>
            <w:tcW w:w="1617" w:type="dxa"/>
            <w:tcBorders>
              <w:top w:val="single" w:sz="4" w:space="0" w:color="auto"/>
              <w:bottom w:val="single" w:sz="4" w:space="0" w:color="auto"/>
            </w:tcBorders>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i/>
                <w:lang w:eastAsia="zh-CN"/>
              </w:rPr>
              <w:t>LR</w:t>
            </w:r>
            <w:r w:rsidRPr="008832BB">
              <w:rPr>
                <w:rFonts w:ascii="Calibri" w:eastAsia="Times New Roman" w:hAnsi="Calibri" w:cs="Times New Roman"/>
                <w:vertAlign w:val="subscript"/>
                <w:lang w:eastAsia="zh-CN"/>
              </w:rPr>
              <w:t>50</w:t>
            </w:r>
            <w:r w:rsidRPr="008832BB">
              <w:rPr>
                <w:rFonts w:ascii="Calibri" w:eastAsia="Times New Roman" w:hAnsi="Calibri" w:cs="Times New Roman"/>
                <w:lang w:eastAsia="zh-CN"/>
              </w:rPr>
              <w:t>(</w:t>
            </w:r>
            <w:r w:rsidRPr="008832BB">
              <w:rPr>
                <w:rFonts w:ascii="Calibri" w:eastAsia="Times New Roman" w:hAnsi="Calibri" w:cs="Times New Roman"/>
                <w:i/>
                <w:lang w:eastAsia="zh-CN"/>
              </w:rPr>
              <w:t>N</w:t>
            </w:r>
            <w:r w:rsidRPr="008832BB">
              <w:rPr>
                <w:rFonts w:ascii="Calibri" w:eastAsia="Times New Roman" w:hAnsi="Calibri" w:cs="Times New Roman"/>
                <w:lang w:eastAsia="zh-CN"/>
              </w:rPr>
              <w:t>)</w:t>
            </w:r>
            <w:r w:rsidRPr="00F27E54">
              <w:rPr>
                <w:rFonts w:ascii="Calibri" w:eastAsia="Times New Roman" w:hAnsi="Calibri" w:cs="Times New Roman"/>
                <w:lang w:eastAsia="zh-CN"/>
              </w:rPr>
              <w:t xml:space="preserve"> (g/ha)</w:t>
            </w:r>
          </w:p>
        </w:tc>
      </w:tr>
      <w:tr w:rsidR="0098649C" w:rsidRPr="00F27E54" w:rsidTr="00302ED0">
        <w:trPr>
          <w:trHeight w:val="300"/>
        </w:trPr>
        <w:tc>
          <w:tcPr>
            <w:tcW w:w="2300" w:type="dxa"/>
            <w:tcBorders>
              <w:top w:val="single" w:sz="4" w:space="0" w:color="auto"/>
            </w:tcBorders>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proofErr w:type="spellStart"/>
            <w:r w:rsidRPr="00F27E54">
              <w:rPr>
                <w:rFonts w:ascii="Calibri" w:eastAsia="Times New Roman" w:hAnsi="Calibri" w:cs="Times New Roman"/>
                <w:lang w:eastAsia="zh-CN"/>
              </w:rPr>
              <w:t>Pirimicarb</w:t>
            </w:r>
            <w:proofErr w:type="spellEnd"/>
          </w:p>
        </w:tc>
        <w:tc>
          <w:tcPr>
            <w:tcW w:w="1900" w:type="dxa"/>
            <w:tcBorders>
              <w:top w:val="single" w:sz="4" w:space="0" w:color="auto"/>
            </w:tcBorders>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proofErr w:type="spellStart"/>
            <w:r w:rsidRPr="00F27E54">
              <w:rPr>
                <w:rFonts w:ascii="Calibri" w:eastAsia="Times New Roman" w:hAnsi="Calibri" w:cs="Times New Roman"/>
                <w:lang w:eastAsia="zh-CN"/>
              </w:rPr>
              <w:t>Carbamate</w:t>
            </w:r>
            <w:proofErr w:type="spellEnd"/>
          </w:p>
        </w:tc>
        <w:tc>
          <w:tcPr>
            <w:tcW w:w="1617" w:type="dxa"/>
            <w:tcBorders>
              <w:top w:val="single" w:sz="4" w:space="0" w:color="auto"/>
            </w:tcBorders>
            <w:shd w:val="clear" w:color="auto" w:fill="auto"/>
            <w:noWrap/>
            <w:vAlign w:val="center"/>
            <w:hideMark/>
          </w:tcPr>
          <w:p w:rsidR="0098649C" w:rsidRPr="00F27E54" w:rsidRDefault="0098649C" w:rsidP="00302ED0">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620</w:t>
            </w:r>
          </w:p>
        </w:tc>
      </w:tr>
      <w:tr w:rsidR="0098649C" w:rsidRPr="00F27E54" w:rsidTr="00302ED0">
        <w:trPr>
          <w:trHeight w:val="300"/>
        </w:trPr>
        <w:tc>
          <w:tcPr>
            <w:tcW w:w="2300" w:type="dxa"/>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Lambda-</w:t>
            </w:r>
            <w:proofErr w:type="spellStart"/>
            <w:r w:rsidRPr="00F27E54">
              <w:rPr>
                <w:rFonts w:ascii="Calibri" w:eastAsia="Times New Roman" w:hAnsi="Calibri" w:cs="Times New Roman"/>
                <w:lang w:eastAsia="zh-CN"/>
              </w:rPr>
              <w:t>cyhalothrin</w:t>
            </w:r>
            <w:proofErr w:type="spellEnd"/>
          </w:p>
        </w:tc>
        <w:tc>
          <w:tcPr>
            <w:tcW w:w="1900" w:type="dxa"/>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proofErr w:type="spellStart"/>
            <w:r w:rsidRPr="00F27E54">
              <w:rPr>
                <w:rFonts w:ascii="Calibri" w:eastAsia="Times New Roman" w:hAnsi="Calibri" w:cs="Times New Roman"/>
                <w:lang w:eastAsia="zh-CN"/>
              </w:rPr>
              <w:t>Pyrethroid</w:t>
            </w:r>
            <w:proofErr w:type="spellEnd"/>
          </w:p>
        </w:tc>
        <w:tc>
          <w:tcPr>
            <w:tcW w:w="1617" w:type="dxa"/>
            <w:shd w:val="clear" w:color="auto" w:fill="auto"/>
            <w:noWrap/>
            <w:vAlign w:val="center"/>
            <w:hideMark/>
          </w:tcPr>
          <w:p w:rsidR="0098649C" w:rsidRPr="00F27E54" w:rsidRDefault="0098649C" w:rsidP="00302ED0">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0.59</w:t>
            </w:r>
          </w:p>
        </w:tc>
      </w:tr>
      <w:tr w:rsidR="0098649C" w:rsidRPr="00F27E54" w:rsidTr="00302ED0">
        <w:trPr>
          <w:trHeight w:val="300"/>
        </w:trPr>
        <w:tc>
          <w:tcPr>
            <w:tcW w:w="2300" w:type="dxa"/>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proofErr w:type="spellStart"/>
            <w:r w:rsidRPr="00F27E54">
              <w:rPr>
                <w:rFonts w:ascii="Calibri" w:eastAsia="Times New Roman" w:hAnsi="Calibri" w:cs="Times New Roman"/>
                <w:lang w:eastAsia="zh-CN"/>
              </w:rPr>
              <w:t>Dimethoate</w:t>
            </w:r>
            <w:proofErr w:type="spellEnd"/>
          </w:p>
        </w:tc>
        <w:tc>
          <w:tcPr>
            <w:tcW w:w="1900" w:type="dxa"/>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r w:rsidRPr="00F27E54">
              <w:rPr>
                <w:rFonts w:ascii="Calibri" w:eastAsia="Times New Roman" w:hAnsi="Calibri" w:cs="Times New Roman"/>
                <w:lang w:eastAsia="zh-CN"/>
              </w:rPr>
              <w:t>Organophosphate</w:t>
            </w:r>
          </w:p>
        </w:tc>
        <w:tc>
          <w:tcPr>
            <w:tcW w:w="1617" w:type="dxa"/>
            <w:shd w:val="clear" w:color="auto" w:fill="auto"/>
            <w:noWrap/>
            <w:vAlign w:val="center"/>
            <w:hideMark/>
          </w:tcPr>
          <w:p w:rsidR="0098649C" w:rsidRPr="00F27E54" w:rsidRDefault="0098649C" w:rsidP="00302ED0">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0.014</w:t>
            </w:r>
          </w:p>
        </w:tc>
      </w:tr>
      <w:tr w:rsidR="0098649C" w:rsidRPr="00F27E54" w:rsidTr="00302ED0">
        <w:trPr>
          <w:trHeight w:val="300"/>
        </w:trPr>
        <w:tc>
          <w:tcPr>
            <w:tcW w:w="2300" w:type="dxa"/>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proofErr w:type="spellStart"/>
            <w:r w:rsidRPr="00F27E54">
              <w:rPr>
                <w:rFonts w:ascii="Calibri" w:eastAsia="Times New Roman" w:hAnsi="Calibri" w:cs="Times New Roman"/>
                <w:lang w:eastAsia="zh-CN"/>
              </w:rPr>
              <w:t>Thiacloprid</w:t>
            </w:r>
            <w:proofErr w:type="spellEnd"/>
          </w:p>
        </w:tc>
        <w:tc>
          <w:tcPr>
            <w:tcW w:w="1900" w:type="dxa"/>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proofErr w:type="spellStart"/>
            <w:r w:rsidRPr="00F27E54">
              <w:rPr>
                <w:rFonts w:ascii="Calibri" w:eastAsia="Times New Roman" w:hAnsi="Calibri" w:cs="Times New Roman"/>
                <w:lang w:eastAsia="zh-CN"/>
              </w:rPr>
              <w:t>Neonicotinoid</w:t>
            </w:r>
            <w:proofErr w:type="spellEnd"/>
          </w:p>
        </w:tc>
        <w:tc>
          <w:tcPr>
            <w:tcW w:w="1617" w:type="dxa"/>
            <w:shd w:val="clear" w:color="auto" w:fill="auto"/>
            <w:noWrap/>
            <w:vAlign w:val="center"/>
            <w:hideMark/>
          </w:tcPr>
          <w:p w:rsidR="0098649C" w:rsidRPr="00F27E54" w:rsidRDefault="0098649C" w:rsidP="00302ED0">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6.8</w:t>
            </w:r>
          </w:p>
        </w:tc>
      </w:tr>
      <w:tr w:rsidR="0098649C" w:rsidRPr="00F27E54" w:rsidTr="00302ED0">
        <w:trPr>
          <w:trHeight w:val="300"/>
        </w:trPr>
        <w:tc>
          <w:tcPr>
            <w:tcW w:w="2300" w:type="dxa"/>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proofErr w:type="spellStart"/>
            <w:r w:rsidRPr="00F27E54">
              <w:rPr>
                <w:rFonts w:ascii="Calibri" w:eastAsia="Times New Roman" w:hAnsi="Calibri" w:cs="Times New Roman"/>
                <w:lang w:eastAsia="zh-CN"/>
              </w:rPr>
              <w:t>Indoxacarb</w:t>
            </w:r>
            <w:proofErr w:type="spellEnd"/>
          </w:p>
        </w:tc>
        <w:tc>
          <w:tcPr>
            <w:tcW w:w="1900" w:type="dxa"/>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proofErr w:type="spellStart"/>
            <w:r w:rsidRPr="00F27E54">
              <w:rPr>
                <w:rFonts w:ascii="Calibri" w:eastAsia="Times New Roman" w:hAnsi="Calibri" w:cs="Times New Roman"/>
                <w:lang w:eastAsia="zh-CN"/>
              </w:rPr>
              <w:t>Oxadiazine</w:t>
            </w:r>
            <w:proofErr w:type="spellEnd"/>
          </w:p>
        </w:tc>
        <w:tc>
          <w:tcPr>
            <w:tcW w:w="1617" w:type="dxa"/>
            <w:shd w:val="clear" w:color="auto" w:fill="auto"/>
            <w:noWrap/>
            <w:vAlign w:val="center"/>
            <w:hideMark/>
          </w:tcPr>
          <w:p w:rsidR="0098649C" w:rsidRPr="00F27E54" w:rsidRDefault="0098649C" w:rsidP="00302ED0">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49</w:t>
            </w:r>
          </w:p>
        </w:tc>
      </w:tr>
      <w:tr w:rsidR="0098649C" w:rsidRPr="00F27E54" w:rsidTr="00302ED0">
        <w:trPr>
          <w:trHeight w:val="300"/>
        </w:trPr>
        <w:tc>
          <w:tcPr>
            <w:tcW w:w="2300" w:type="dxa"/>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proofErr w:type="spellStart"/>
            <w:r w:rsidRPr="00F27E54">
              <w:rPr>
                <w:rFonts w:ascii="Calibri" w:eastAsia="Times New Roman" w:hAnsi="Calibri" w:cs="Times New Roman"/>
                <w:lang w:eastAsia="zh-CN"/>
              </w:rPr>
              <w:t>Pymetrozine</w:t>
            </w:r>
            <w:proofErr w:type="spellEnd"/>
          </w:p>
        </w:tc>
        <w:tc>
          <w:tcPr>
            <w:tcW w:w="1900" w:type="dxa"/>
            <w:shd w:val="clear" w:color="auto" w:fill="auto"/>
            <w:noWrap/>
            <w:vAlign w:val="center"/>
            <w:hideMark/>
          </w:tcPr>
          <w:p w:rsidR="0098649C" w:rsidRPr="00F27E54" w:rsidRDefault="0098649C" w:rsidP="00302ED0">
            <w:pPr>
              <w:spacing w:after="0" w:line="240" w:lineRule="auto"/>
              <w:rPr>
                <w:rFonts w:ascii="Calibri" w:eastAsia="Times New Roman" w:hAnsi="Calibri" w:cs="Times New Roman"/>
                <w:lang w:eastAsia="zh-CN"/>
              </w:rPr>
            </w:pPr>
            <w:proofErr w:type="spellStart"/>
            <w:r w:rsidRPr="00F27E54">
              <w:rPr>
                <w:rFonts w:ascii="Calibri" w:eastAsia="Times New Roman" w:hAnsi="Calibri" w:cs="Times New Roman"/>
                <w:lang w:eastAsia="zh-CN"/>
              </w:rPr>
              <w:t>Azomethine</w:t>
            </w:r>
            <w:proofErr w:type="spellEnd"/>
          </w:p>
        </w:tc>
        <w:tc>
          <w:tcPr>
            <w:tcW w:w="1617" w:type="dxa"/>
            <w:shd w:val="clear" w:color="auto" w:fill="auto"/>
            <w:noWrap/>
            <w:vAlign w:val="center"/>
            <w:hideMark/>
          </w:tcPr>
          <w:p w:rsidR="0098649C" w:rsidRPr="00F27E54" w:rsidRDefault="0098649C" w:rsidP="00302ED0">
            <w:pPr>
              <w:spacing w:after="0" w:line="240" w:lineRule="auto"/>
              <w:jc w:val="center"/>
              <w:rPr>
                <w:rFonts w:ascii="Calibri" w:eastAsia="Times New Roman" w:hAnsi="Calibri" w:cs="Times New Roman"/>
                <w:lang w:eastAsia="zh-CN"/>
              </w:rPr>
            </w:pPr>
            <w:r w:rsidRPr="00F27E54">
              <w:rPr>
                <w:rFonts w:ascii="Calibri" w:eastAsia="Times New Roman" w:hAnsi="Calibri" w:cs="Times New Roman"/>
                <w:lang w:eastAsia="zh-CN"/>
              </w:rPr>
              <w:t>75</w:t>
            </w:r>
          </w:p>
        </w:tc>
      </w:tr>
    </w:tbl>
    <w:p w:rsidR="00A94F5E" w:rsidRPr="003C6236" w:rsidRDefault="003C6236">
      <w:pPr>
        <w:rPr>
          <w:b/>
        </w:rPr>
      </w:pPr>
      <w:r w:rsidRPr="003C6236">
        <w:rPr>
          <w:b/>
        </w:rPr>
        <w:lastRenderedPageBreak/>
        <w:t>References</w:t>
      </w:r>
    </w:p>
    <w:p w:rsidR="003C6236" w:rsidRPr="003C6236" w:rsidRDefault="003C6236" w:rsidP="003C6236">
      <w:pPr>
        <w:widowControl w:val="0"/>
        <w:autoSpaceDE w:val="0"/>
        <w:autoSpaceDN w:val="0"/>
        <w:adjustRightInd w:val="0"/>
        <w:spacing w:line="240" w:lineRule="auto"/>
        <w:ind w:left="640" w:hanging="640"/>
        <w:rPr>
          <w:rFonts w:ascii="Calibri" w:hAnsi="Calibri" w:cs="Times New Roman"/>
          <w:noProof/>
          <w:szCs w:val="24"/>
        </w:rPr>
      </w:pPr>
      <w:r w:rsidRPr="003C6236">
        <w:fldChar w:fldCharType="begin" w:fldLock="1"/>
      </w:r>
      <w:r w:rsidRPr="003C6236">
        <w:instrText xml:space="preserve">ADDIN Mendeley Bibliography CSL_BIBLIOGRAPHY </w:instrText>
      </w:r>
      <w:r w:rsidRPr="003C6236">
        <w:fldChar w:fldCharType="separate"/>
      </w:r>
      <w:r w:rsidRPr="003C6236">
        <w:rPr>
          <w:rFonts w:ascii="Calibri" w:hAnsi="Calibri" w:cs="Times New Roman"/>
          <w:noProof/>
          <w:szCs w:val="24"/>
        </w:rPr>
        <w:t xml:space="preserve">1. </w:t>
      </w:r>
      <w:r w:rsidRPr="003C6236">
        <w:rPr>
          <w:rFonts w:ascii="Calibri" w:hAnsi="Calibri" w:cs="Times New Roman"/>
          <w:noProof/>
          <w:szCs w:val="24"/>
        </w:rPr>
        <w:tab/>
        <w:t xml:space="preserve">ESCORT. Guidance document on regulatory testing and risk assessment procedures for plant protection products with non-target arthropods. </w:t>
      </w:r>
      <w:proofErr w:type="gramStart"/>
      <w:r w:rsidRPr="003C6236">
        <w:rPr>
          <w:rFonts w:cs="Times New Roman"/>
        </w:rPr>
        <w:t xml:space="preserve">European Standard Characteristics of Non-Target Arthropod Regulatory Testing, </w:t>
      </w:r>
      <w:proofErr w:type="spellStart"/>
      <w:r w:rsidRPr="003C6236">
        <w:rPr>
          <w:rFonts w:cs="Times New Roman"/>
        </w:rPr>
        <w:t>Wageningen</w:t>
      </w:r>
      <w:proofErr w:type="spellEnd"/>
      <w:r w:rsidRPr="003C6236">
        <w:rPr>
          <w:rFonts w:cs="Times New Roman"/>
        </w:rPr>
        <w:t>, the Netherlands.</w:t>
      </w:r>
      <w:proofErr w:type="gramEnd"/>
      <w:r w:rsidRPr="003C6236">
        <w:rPr>
          <w:rFonts w:ascii="Calibri" w:hAnsi="Calibri" w:cs="Times New Roman"/>
          <w:noProof/>
          <w:szCs w:val="24"/>
        </w:rPr>
        <w:t xml:space="preserve"> 2000.</w:t>
      </w:r>
      <w:r w:rsidRPr="003C6236">
        <w:rPr>
          <w:rFonts w:ascii="Calibri" w:hAnsi="Calibri" w:cs="Times New Roman"/>
          <w:noProof/>
          <w:szCs w:val="24"/>
        </w:rPr>
        <w:t xml:space="preserve"> </w:t>
      </w:r>
    </w:p>
    <w:p w:rsidR="003C6236" w:rsidRPr="003C6236" w:rsidRDefault="003C6236" w:rsidP="003C6236">
      <w:pPr>
        <w:widowControl w:val="0"/>
        <w:autoSpaceDE w:val="0"/>
        <w:autoSpaceDN w:val="0"/>
        <w:adjustRightInd w:val="0"/>
        <w:spacing w:line="240" w:lineRule="auto"/>
        <w:ind w:left="640" w:hanging="640"/>
        <w:rPr>
          <w:rFonts w:ascii="Calibri" w:hAnsi="Calibri" w:cs="Times New Roman"/>
          <w:noProof/>
          <w:szCs w:val="24"/>
        </w:rPr>
      </w:pPr>
      <w:r w:rsidRPr="003C6236">
        <w:rPr>
          <w:rFonts w:ascii="Calibri" w:hAnsi="Calibri" w:cs="Times New Roman"/>
          <w:noProof/>
          <w:szCs w:val="24"/>
        </w:rPr>
        <w:t xml:space="preserve">2. </w:t>
      </w:r>
      <w:r w:rsidRPr="003C6236">
        <w:rPr>
          <w:rFonts w:ascii="Calibri" w:hAnsi="Calibri" w:cs="Times New Roman"/>
          <w:noProof/>
          <w:szCs w:val="24"/>
        </w:rPr>
        <w:tab/>
        <w:t>Fera. Pesticide Usage Surveys</w:t>
      </w:r>
      <w:r w:rsidRPr="003C6236">
        <w:rPr>
          <w:rFonts w:ascii="Calibri" w:hAnsi="Calibri" w:cs="Times New Roman"/>
          <w:noProof/>
          <w:szCs w:val="24"/>
        </w:rPr>
        <w:t xml:space="preserve">; 2015. </w:t>
      </w:r>
      <w:proofErr w:type="spellStart"/>
      <w:r w:rsidRPr="003C6236">
        <w:t>Fera</w:t>
      </w:r>
      <w:proofErr w:type="spellEnd"/>
      <w:r w:rsidRPr="003C6236">
        <w:t xml:space="preserve"> Science Ltd</w:t>
      </w:r>
      <w:r w:rsidRPr="003C6236">
        <w:rPr>
          <w:rFonts w:ascii="Calibri" w:hAnsi="Calibri" w:cs="Times New Roman"/>
          <w:noProof/>
          <w:szCs w:val="24"/>
        </w:rPr>
        <w:t xml:space="preserve"> [Internet]. Accessed: http://pusstats.fera.defra.gov.uk/index.cfm.</w:t>
      </w:r>
    </w:p>
    <w:p w:rsidR="003C6236" w:rsidRPr="003C6236" w:rsidRDefault="003C6236" w:rsidP="003C6236">
      <w:pPr>
        <w:widowControl w:val="0"/>
        <w:autoSpaceDE w:val="0"/>
        <w:autoSpaceDN w:val="0"/>
        <w:adjustRightInd w:val="0"/>
        <w:spacing w:line="240" w:lineRule="auto"/>
        <w:ind w:left="640" w:hanging="640"/>
        <w:rPr>
          <w:rFonts w:ascii="Calibri" w:hAnsi="Calibri"/>
          <w:noProof/>
        </w:rPr>
      </w:pPr>
      <w:r w:rsidRPr="003C6236">
        <w:rPr>
          <w:rFonts w:ascii="Calibri" w:hAnsi="Calibri" w:cs="Times New Roman"/>
          <w:noProof/>
          <w:szCs w:val="24"/>
        </w:rPr>
        <w:t xml:space="preserve">3. </w:t>
      </w:r>
      <w:r w:rsidRPr="003C6236">
        <w:rPr>
          <w:rFonts w:ascii="Calibri" w:hAnsi="Calibri" w:cs="Times New Roman"/>
          <w:noProof/>
          <w:szCs w:val="24"/>
        </w:rPr>
        <w:tab/>
        <w:t xml:space="preserve">EFSA. Rapporteur Member State assessment reports submitted for the EU peer review of active substances used in plant protection products. </w:t>
      </w:r>
      <w:r w:rsidRPr="003C6236">
        <w:rPr>
          <w:rFonts w:ascii="Calibri" w:hAnsi="Calibri" w:cs="Times New Roman"/>
          <w:noProof/>
          <w:szCs w:val="24"/>
        </w:rPr>
        <w:t>European Food Safety Authority. 2015. Available: http://dar.efsa.europa.eu/dar-web/provision.</w:t>
      </w:r>
    </w:p>
    <w:p w:rsidR="003C6236" w:rsidRDefault="003C6236">
      <w:r w:rsidRPr="003C6236">
        <w:fldChar w:fldCharType="end"/>
      </w:r>
      <w:bookmarkStart w:id="2" w:name="_GoBack"/>
      <w:bookmarkEnd w:id="2"/>
    </w:p>
    <w:sectPr w:rsidR="003C6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E7"/>
    <w:rsid w:val="003C6236"/>
    <w:rsid w:val="00666FE7"/>
    <w:rsid w:val="0098649C"/>
    <w:rsid w:val="00A94F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9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4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9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4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6D7F-958E-406D-ADB6-94005A19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4373</Characters>
  <Application>Microsoft Office Word</Application>
  <DocSecurity>0</DocSecurity>
  <Lines>36</Lines>
  <Paragraphs>10</Paragraphs>
  <ScaleCrop>false</ScaleCrop>
  <Company>University of Reading</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Zhang</dc:creator>
  <cp:keywords/>
  <dc:description/>
  <cp:lastModifiedBy>Han Zhang</cp:lastModifiedBy>
  <cp:revision>3</cp:revision>
  <dcterms:created xsi:type="dcterms:W3CDTF">2016-08-06T15:33:00Z</dcterms:created>
  <dcterms:modified xsi:type="dcterms:W3CDTF">2016-08-06T15:45:00Z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http://www.zotero.org/styles/vancouver-brackets</vt:lpwstr>
  </property>
  <property fmtid="{D5CDD505-2E9C-101B-9397-08002B2CF9AE}" pid="3" name="Mendeley Document_1">
    <vt:lpwstr>True</vt:lpwstr>
  </property>
  <property fmtid="{D5CDD505-2E9C-101B-9397-08002B2CF9AE}" pid="4" name="Mendeley User Name_1">
    <vt:lpwstr>yingyue1989@yahoo.com@www.mendeley.com</vt:lpwstr>
  </property>
  <property fmtid="{D5CDD505-2E9C-101B-9397-08002B2CF9AE}" pid="5" name="Mendeley Recent Style Id 0_1">
    <vt:lpwstr>http://www.zotero.org/styles/agriculture-ecosystems-and-environment</vt:lpwstr>
  </property>
  <property fmtid="{D5CDD505-2E9C-101B-9397-08002B2CF9AE}" pid="6" name="Mendeley Recent Style Name 0_1">
    <vt:lpwstr>Agriculture, Ecosystems and Environment</vt:lpwstr>
  </property>
  <property fmtid="{D5CDD505-2E9C-101B-9397-08002B2CF9AE}" pid="7" name="Mendeley Recent Style Id 1_1">
    <vt:lpwstr>http://www.zotero.org/styles/elsevier-vancouver</vt:lpwstr>
  </property>
  <property fmtid="{D5CDD505-2E9C-101B-9397-08002B2CF9AE}" pid="8" name="Mendeley Recent Style Name 1_1">
    <vt:lpwstr>Elsevier Vancouver</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http://www.zotero.org/styles/nature-publishing-group-vancouver</vt:lpwstr>
  </property>
  <property fmtid="{D5CDD505-2E9C-101B-9397-08002B2CF9AE}" pid="12" name="Mendeley Recent Style Name 3_1">
    <vt:lpwstr>Nature Publishing Group Vancouver</vt:lpwstr>
  </property>
  <property fmtid="{D5CDD505-2E9C-101B-9397-08002B2CF9AE}" pid="13" name="Mendeley Recent Style Id 4_1">
    <vt:lpwstr>http://www.zotero.org/styles/sage-vancouver</vt:lpwstr>
  </property>
  <property fmtid="{D5CDD505-2E9C-101B-9397-08002B2CF9AE}" pid="14" name="Mendeley Recent Style Name 4_1">
    <vt:lpwstr>SAGE Vancouver</vt:lpwstr>
  </property>
  <property fmtid="{D5CDD505-2E9C-101B-9397-08002B2CF9AE}" pid="15" name="Mendeley Recent Style Id 5_1">
    <vt:lpwstr>http://www.zotero.org/styles/sage-vancouver-brackets</vt:lpwstr>
  </property>
  <property fmtid="{D5CDD505-2E9C-101B-9397-08002B2CF9AE}" pid="16" name="Mendeley Recent Style Name 5_1">
    <vt:lpwstr>SAGE Vancouver (brackets)</vt:lpwstr>
  </property>
  <property fmtid="{D5CDD505-2E9C-101B-9397-08002B2CF9AE}" pid="17" name="Mendeley Recent Style Id 6_1">
    <vt:lpwstr>http://www.zotero.org/styles/springer-vancouver</vt:lpwstr>
  </property>
  <property fmtid="{D5CDD505-2E9C-101B-9397-08002B2CF9AE}" pid="18" name="Mendeley Recent Style Name 6_1">
    <vt:lpwstr>Springer Vancouver</vt:lpwstr>
  </property>
  <property fmtid="{D5CDD505-2E9C-101B-9397-08002B2CF9AE}" pid="19" name="Mendeley Recent Style Id 7_1">
    <vt:lpwstr>http://www.zotero.org/styles/springer-vancouver-brackets</vt:lpwstr>
  </property>
  <property fmtid="{D5CDD505-2E9C-101B-9397-08002B2CF9AE}" pid="20" name="Mendeley Recent Style Name 7_1">
    <vt:lpwstr>Springer Vancouver (brackets)</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vt:lpwstr>
  </property>
  <property fmtid="{D5CDD505-2E9C-101B-9397-08002B2CF9AE}" pid="24" name="Mendeley Recent Style Name 9_1">
    <vt:lpwstr>Vancouver (brackets)</vt:lpwstr>
  </property>
</Properties>
</file>